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
        <w:ind w:left="0" w:right="0" w:hanging="0"/>
        <w:jc w:val="left"/>
        <w:rPr>
          <w:bdr w:val="single" w:sz="16" w:space="1" w:color="000000"/>
        </w:rPr>
      </w:pPr>
      <w:bookmarkStart w:id="0" w:name="ea0299361-10q_turn.htm"/>
      <w:bookmarkStart w:id="1" w:name="ksea029936110q_turn"/>
      <w:bookmarkEnd w:id="0"/>
      <w:bookmarkEnd w:id="1"/>
      <w:r>
        <w:rPr>
          <w:bdr w:val="single" w:sz="16" w:space="1" w:color="000000"/>
        </w:rPr>
        <w:t> </w:t>
      </w:r>
    </w:p>
    <w:p>
      <w:pPr>
        <w:pStyle w:val="TextBody"/>
        <w:bidi w:val="0"/>
        <w:spacing w:before="0" w:after="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10-Q</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QUARTERLY REPORT 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June 30,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TRANSITION REPORT 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 to 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001-42875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Turn Therapeutics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70" w:type="dxa"/>
        <w:jc w:val="left"/>
        <w:tblInd w:w="0" w:type="dxa"/>
        <w:tblLayout w:type="fixed"/>
        <w:tblCellMar>
          <w:top w:w="0" w:type="dxa"/>
          <w:left w:w="0" w:type="dxa"/>
          <w:bottom w:w="28" w:type="dxa"/>
          <w:right w:w="0" w:type="dxa"/>
        </w:tblCellMar>
      </w:tblPr>
      <w:tblGrid>
        <w:gridCol w:w="3215"/>
        <w:gridCol w:w="60"/>
        <w:gridCol w:w="1895"/>
      </w:tblGrid>
      <w:tr>
        <w:trPr/>
        <w:tc>
          <w:tcPr>
            <w:tcW w:w="321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Delaware</w:t>
            </w:r>
            <w:r>
              <w:rPr>
                <w:rFonts w:ascii="Times New Roman;Times;Serif" w:hAnsi="Times New Roman;Times;Serif"/>
                <w:sz w:val="20"/>
              </w:rPr>
              <w:t xml:space="preserve">  </w:t>
            </w:r>
          </w:p>
        </w:tc>
        <w:tc>
          <w:tcPr>
            <w:tcW w:w="60" w:type="dxa"/>
            <w:tcBorders/>
            <w:tcMar>
              <w:bottom w:w="0" w:type="dxa"/>
            </w:tcMar>
            <w:vAlign w:val="center"/>
          </w:tcPr>
          <w:p>
            <w:pPr>
              <w:pStyle w:val="TableContents"/>
              <w:bidi w:val="0"/>
              <w:spacing w:before="0" w:after="283"/>
              <w:jc w:val="center"/>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32-0456090</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of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Number)</w:t>
            </w:r>
          </w:p>
        </w:tc>
      </w:tr>
      <w:tr>
        <w:trPr/>
        <w:tc>
          <w:tcPr>
            <w:tcW w:w="3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pPr>
            <w:r>
              <w:rPr/>
              <w:t> </w:t>
            </w:r>
          </w:p>
        </w:tc>
      </w:tr>
      <w:tr>
        <w:trPr/>
        <w:tc>
          <w:tcPr>
            <w:tcW w:w="32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250 N. Westlake Blvd, STE 210</w:t>
              <w:br/>
              <w:t>Westlake Village, CA</w:t>
            </w:r>
          </w:p>
        </w:tc>
        <w:tc>
          <w:tcPr>
            <w:tcW w:w="60" w:type="dxa"/>
            <w:tcBorders/>
            <w:tcMar>
              <w:bottom w:w="0" w:type="dxa"/>
            </w:tcMar>
            <w:vAlign w:val="center"/>
          </w:tcPr>
          <w:p>
            <w:pPr>
              <w:pStyle w:val="TableContents"/>
              <w:bidi w:val="0"/>
              <w:spacing w:before="0" w:after="283"/>
              <w:jc w:val="center"/>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91362</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(818) 564-4011</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$0.0001 par value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TTRX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1925"/>
        <w:gridCol w:w="230"/>
        <w:gridCol w:w="2345"/>
        <w:gridCol w:w="245"/>
      </w:tblGrid>
      <w:tr>
        <w:trPr/>
        <w:tc>
          <w:tcPr>
            <w:tcW w:w="1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both"/>
              <w:rPr/>
            </w:pPr>
            <w:r>
              <w:rPr/>
              <w:t>☐</w:t>
            </w:r>
          </w:p>
        </w:tc>
        <w:tc>
          <w:tcPr>
            <w:tcW w:w="2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both"/>
              <w:rPr/>
            </w:pPr>
            <w:r>
              <w:rPr/>
              <w:t>☐</w:t>
            </w:r>
          </w:p>
        </w:tc>
      </w:tr>
      <w:tr>
        <w:trPr/>
        <w:tc>
          <w:tcPr>
            <w:tcW w:w="1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both"/>
              <w:rPr/>
            </w:pPr>
            <w:r>
              <w:rPr/>
              <w:t>☒</w:t>
            </w:r>
          </w:p>
        </w:tc>
        <w:tc>
          <w:tcPr>
            <w:tcW w:w="2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both"/>
              <w:rPr/>
            </w:pPr>
            <w:r>
              <w:rPr/>
              <w:t>☒</w:t>
            </w:r>
          </w:p>
        </w:tc>
      </w:tr>
      <w:tr>
        <w:trPr/>
        <w:tc>
          <w:tcPr>
            <w:tcW w:w="192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2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12, 2026, the registrant had 29,788,040 shares of common stock, $0.0001 par value per share, outstanding.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(the “Quarterly Report”)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with regard to the results of our clinical studies, preclinical studies and research and development programs, including the timing and availability of data from such studies;</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location, timing of commencement and data reporting of future nonclinical studies and clinical trials and research and development programs;</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clinical and regulatory development plans;</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the product profile, relative benefits and clinical utility of our product candidates;</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the potential market size and size of the potential patient populations for our product candidates and any future product candidates if approved for commercial use;</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acquire, discover, develop and advance our product candidates into, and successfully complete, clinical trials;</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intentions and our ability to establish collaborations and/or partnerships;</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or likelihood of regulatory filings and approvals for our product candidates;</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commercialization, marketing and manufacturing capabilities and expectations;</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intentions with respect to the commercialization of our product candidates;</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pricing and reimbursement of our product candidates, if approved;</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implementation of our business model and strategic plans for our business and product candidates, including additional indications which we may pursue or elect not to pursue;</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scope of protection we are able to establish, maintain, protect and enforce for intellectual property rights covering our product candidates, including the projected terms of patent protection;</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estimates of our expenses, future revenue, capital requirements, our needs for additional financing and our ability to obtain additional capital and the timing of the sufficiency of our capital resources;</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financial performance; and</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and projections relating to our competitors and our industry, including competing products.</w:t>
            </w:r>
          </w:p>
        </w:tc>
      </w:tr>
    </w:tbl>
    <w:p>
      <w:pPr>
        <w:pStyle w:val="TextBody"/>
        <w:bidi w:val="0"/>
        <w:spacing w:before="0" w:after="0"/>
        <w:ind w:left="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800"/>
        <w:gridCol w:w="7280"/>
        <w:gridCol w:w="60"/>
        <w:gridCol w:w="455"/>
      </w:tblGrid>
      <w:tr>
        <w:trPr/>
        <w:tc>
          <w:tcPr>
            <w:tcW w:w="80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PART I.</w:t>
            </w:r>
          </w:p>
        </w:tc>
        <w:tc>
          <w:tcPr>
            <w:tcW w:w="728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FINANCIAL INFORMATION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1</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728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Condensed Consolidated Financial Statements (Unaudited)</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1</w:t>
            </w:r>
          </w:p>
        </w:tc>
      </w:tr>
      <w:tr>
        <w:trPr/>
        <w:tc>
          <w:tcPr>
            <w:tcW w:w="80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Condensed Consolidated Balance Sheets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1</w:t>
            </w:r>
          </w:p>
        </w:tc>
      </w:tr>
      <w:tr>
        <w:trPr/>
        <w:tc>
          <w:tcPr>
            <w:tcW w:w="800" w:type="dxa"/>
            <w:tcBorders/>
            <w:shd w:fill="FFFFFF" w:val="clear"/>
            <w:vAlign w:val="center"/>
          </w:tcPr>
          <w:p>
            <w:pPr>
              <w:pStyle w:val="TableContents"/>
              <w:bidi w:val="0"/>
              <w:spacing w:before="0" w:after="283"/>
              <w:jc w:val="left"/>
              <w:rPr/>
            </w:pPr>
            <w:r>
              <w:rPr/>
              <w:t> </w:t>
            </w:r>
          </w:p>
        </w:tc>
        <w:tc>
          <w:tcPr>
            <w:tcW w:w="728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Condensed Consolidated Statements of Operations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2</w:t>
            </w:r>
          </w:p>
        </w:tc>
      </w:tr>
      <w:tr>
        <w:trPr/>
        <w:tc>
          <w:tcPr>
            <w:tcW w:w="80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Condensed Consolidated Statements of Stockholders’ Equity</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3</w:t>
            </w:r>
          </w:p>
        </w:tc>
      </w:tr>
      <w:tr>
        <w:trPr/>
        <w:tc>
          <w:tcPr>
            <w:tcW w:w="800" w:type="dxa"/>
            <w:tcBorders/>
            <w:shd w:fill="FFFFFF" w:val="clear"/>
            <w:vAlign w:val="center"/>
          </w:tcPr>
          <w:p>
            <w:pPr>
              <w:pStyle w:val="TableContents"/>
              <w:bidi w:val="0"/>
              <w:spacing w:before="0" w:after="283"/>
              <w:jc w:val="left"/>
              <w:rPr/>
            </w:pPr>
            <w:r>
              <w:rPr/>
              <w:t> </w:t>
            </w:r>
          </w:p>
        </w:tc>
        <w:tc>
          <w:tcPr>
            <w:tcW w:w="728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Condensed Consolidated Statements of Cash Flows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4</w:t>
            </w:r>
          </w:p>
        </w:tc>
      </w:tr>
      <w:tr>
        <w:trPr/>
        <w:tc>
          <w:tcPr>
            <w:tcW w:w="80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Notes to Condensed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5</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728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Management’s Discussion and Analysis of Financial Condition and Results of Operations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19</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728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Quantitative and Qualitative Disclosures About Market Risk</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27</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728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Controls and Procedures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27</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PART II.</w:t>
            </w:r>
          </w:p>
        </w:tc>
        <w:tc>
          <w:tcPr>
            <w:tcW w:w="728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OTHER INFORMATION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28</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728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Legal Proceedings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28</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1A.</w:t>
            </w:r>
          </w:p>
        </w:tc>
        <w:tc>
          <w:tcPr>
            <w:tcW w:w="728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28</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7280"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Unregistered Sales of Equity Securities and Use of Proceeds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28</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728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Defaults Upon Senior Securities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28</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7280"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Mine Safety Disclosures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28</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5.</w:t>
            </w:r>
          </w:p>
        </w:tc>
        <w:tc>
          <w:tcPr>
            <w:tcW w:w="7280"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Other Information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28</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6.</w:t>
            </w:r>
          </w:p>
        </w:tc>
        <w:tc>
          <w:tcPr>
            <w:tcW w:w="7280"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Exhibits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29</w:t>
            </w:r>
          </w:p>
        </w:tc>
      </w:tr>
      <w:tr>
        <w:trPr/>
        <w:tc>
          <w:tcPr>
            <w:tcW w:w="80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Signatures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30</w:t>
            </w:r>
          </w:p>
        </w:tc>
      </w:tr>
    </w:tbl>
    <w:p>
      <w:pPr>
        <w:pStyle w:val="TextBody"/>
        <w:bidi w:val="0"/>
        <w:spacing w:before="0" w:after="0"/>
        <w:ind w:left="0" w:right="0" w:hanging="0"/>
        <w:jc w:val="left"/>
        <w:rPr>
          <w:caps w:val="false"/>
          <w:smallCaps w:val="false"/>
        </w:rPr>
      </w:pPr>
      <w:r>
        <w:rPr>
          <w:caps w:val="false"/>
          <w:smallCaps w:val="false"/>
        </w:rPr>
        <w:t> </w:t>
      </w:r>
    </w:p>
    <w:tbl>
      <w:tblPr>
        <w:tblW w:w="193" w:type="dxa"/>
        <w:jc w:val="left"/>
        <w:tblInd w:w="0" w:type="dxa"/>
        <w:tblLayout w:type="fixed"/>
        <w:tblCellMar>
          <w:top w:w="0" w:type="dxa"/>
          <w:left w:w="0" w:type="dxa"/>
          <w:bottom w:w="0" w:type="dxa"/>
          <w:right w:w="0" w:type="dxa"/>
        </w:tblCellMar>
      </w:tblPr>
      <w:tblGrid>
        <w:gridCol w:w="38"/>
        <w:gridCol w:w="8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1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Condensed Consolidated Financial Statements (Unaudited)</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TURN THERAPEUTICS INC.</w:t>
      </w:r>
    </w:p>
    <w:p>
      <w:pPr>
        <w:pStyle w:val="TextBody"/>
        <w:bidi w:val="0"/>
        <w:spacing w:before="0" w:after="0"/>
        <w:ind w:left="0" w:right="0" w:hanging="0"/>
        <w:jc w:val="center"/>
        <w:rPr>
          <w:rFonts w:ascii="Times New Roman;Times;Serif" w:hAnsi="Times New Roman;Times;Serif"/>
          <w:b/>
          <w:i w:val="false"/>
          <w:smallCaps/>
          <w:sz w:val="20"/>
        </w:rPr>
      </w:pPr>
      <w:bookmarkStart w:id="4" w:name="a_003"/>
      <w:bookmarkEnd w:id="4"/>
      <w:r>
        <w:rPr>
          <w:rFonts w:ascii="Times New Roman;Times;Serif" w:hAnsi="Times New Roman;Times;Serif"/>
          <w:b/>
          <w:i w:val="false"/>
          <w:smallCaps/>
          <w:sz w:val="20"/>
        </w:rPr>
        <w:t>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92"/>
        <w:gridCol w:w="60"/>
        <w:gridCol w:w="140"/>
        <w:gridCol w:w="1175"/>
        <w:gridCol w:w="95"/>
        <w:gridCol w:w="60"/>
        <w:gridCol w:w="145"/>
        <w:gridCol w:w="1225"/>
        <w:gridCol w:w="513"/>
      </w:tblGrid>
      <w:tr>
        <w:trPr/>
        <w:tc>
          <w:tcPr>
            <w:tcW w:w="67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December 31,</w:t>
            </w:r>
          </w:p>
        </w:tc>
        <w:tc>
          <w:tcPr>
            <w:tcW w:w="513" w:type="dxa"/>
            <w:tcBorders/>
            <w:vAlign w:val="center"/>
          </w:tcPr>
          <w:p>
            <w:pPr>
              <w:pStyle w:val="TableContents"/>
              <w:bidi w:val="0"/>
              <w:spacing w:before="0" w:after="283"/>
              <w:jc w:val="left"/>
              <w:rPr/>
            </w:pPr>
            <w:r>
              <w:rPr/>
              <w:t> </w:t>
            </w:r>
          </w:p>
        </w:tc>
      </w:tr>
      <w:tr>
        <w:trPr/>
        <w:tc>
          <w:tcPr>
            <w:tcW w:w="67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513" w:type="dxa"/>
            <w:tcBorders/>
            <w:vAlign w:val="center"/>
          </w:tcPr>
          <w:p>
            <w:pPr>
              <w:pStyle w:val="TableContents"/>
              <w:bidi w:val="0"/>
              <w:spacing w:before="0" w:after="283"/>
              <w:jc w:val="left"/>
              <w:rPr/>
            </w:pPr>
            <w:r>
              <w:rPr/>
              <w:t> </w:t>
            </w:r>
          </w:p>
        </w:tc>
      </w:tr>
      <w:tr>
        <w:trPr/>
        <w:tc>
          <w:tcPr>
            <w:tcW w:w="67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513" w:type="dxa"/>
            <w:tcBorders/>
            <w:vAlign w:val="center"/>
          </w:tcPr>
          <w:p>
            <w:pPr>
              <w:pStyle w:val="TableContents"/>
              <w:bidi w:val="0"/>
              <w:spacing w:before="0" w:after="283"/>
              <w:jc w:val="left"/>
              <w:rPr/>
            </w:pPr>
            <w:r>
              <w:rPr/>
              <w:t> </w:t>
            </w:r>
          </w:p>
        </w:tc>
      </w:tr>
      <w:tr>
        <w:trPr/>
        <w:tc>
          <w:tcPr>
            <w:tcW w:w="6792"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283"/>
              <w:jc w:val="left"/>
              <w:rPr/>
            </w:pPr>
            <w:r>
              <w:rPr/>
              <w:t> </w:t>
            </w:r>
          </w:p>
        </w:tc>
      </w:tr>
      <w:tr>
        <w:trPr/>
        <w:tc>
          <w:tcPr>
            <w:tcW w:w="6792"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283"/>
              <w:ind w:left="0" w:right="0" w:firstLine="200"/>
              <w:jc w:val="left"/>
              <w:rPr/>
            </w:pPr>
            <w:r>
              <w:rPr/>
              <w:t> </w:t>
            </w:r>
          </w:p>
        </w:tc>
      </w:tr>
      <w:tr>
        <w:trPr/>
        <w:tc>
          <w:tcPr>
            <w:tcW w:w="6792"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10,288,510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5,076,144</w:t>
            </w:r>
          </w:p>
        </w:tc>
        <w:tc>
          <w:tcPr>
            <w:tcW w:w="513" w:type="dxa"/>
            <w:tcBorders/>
            <w:shd w:fill="CCEEFF" w:val="clear"/>
            <w:vAlign w:val="center"/>
          </w:tcPr>
          <w:p>
            <w:pPr>
              <w:pStyle w:val="TableContents"/>
              <w:bidi w:val="0"/>
              <w:spacing w:before="0" w:after="283"/>
              <w:ind w:left="0" w:right="0" w:firstLine="200"/>
              <w:jc w:val="left"/>
              <w:rPr/>
            </w:pPr>
            <w:r>
              <w:rPr/>
              <w:t> </w:t>
            </w:r>
          </w:p>
        </w:tc>
      </w:tr>
      <w:tr>
        <w:trPr/>
        <w:tc>
          <w:tcPr>
            <w:tcW w:w="6792"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139,688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120,300</w:t>
            </w:r>
          </w:p>
        </w:tc>
        <w:tc>
          <w:tcPr>
            <w:tcW w:w="513" w:type="dxa"/>
            <w:tcBorders/>
            <w:shd w:fill="FFFFFF" w:val="clear"/>
            <w:vAlign w:val="center"/>
          </w:tcPr>
          <w:p>
            <w:pPr>
              <w:pStyle w:val="TableContents"/>
              <w:bidi w:val="0"/>
              <w:spacing w:before="0" w:after="283"/>
              <w:ind w:left="0" w:right="0" w:firstLine="402"/>
              <w:jc w:val="left"/>
              <w:rPr/>
            </w:pPr>
            <w:r>
              <w:rPr/>
              <w:t> </w:t>
            </w:r>
          </w:p>
        </w:tc>
      </w:tr>
      <w:tr>
        <w:trPr/>
        <w:tc>
          <w:tcPr>
            <w:tcW w:w="6792"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10,428,198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b/>
              </w:rPr>
            </w:pPr>
            <w:r>
              <w:rPr>
                <w:b/>
              </w:rPr>
              <w:t>5,196,444</w:t>
            </w:r>
          </w:p>
        </w:tc>
        <w:tc>
          <w:tcPr>
            <w:tcW w:w="513" w:type="dxa"/>
            <w:tcBorders/>
            <w:shd w:fill="CCEEFF" w:val="clear"/>
            <w:vAlign w:val="center"/>
          </w:tcPr>
          <w:p>
            <w:pPr>
              <w:pStyle w:val="TableContents"/>
              <w:bidi w:val="0"/>
              <w:spacing w:before="0" w:after="283"/>
              <w:ind w:left="0" w:right="0" w:firstLine="200"/>
              <w:jc w:val="left"/>
              <w:rPr/>
            </w:pPr>
            <w:r>
              <w:rPr/>
              <w:t> </w:t>
            </w:r>
          </w:p>
        </w:tc>
      </w:tr>
      <w:tr>
        <w:trPr/>
        <w:tc>
          <w:tcPr>
            <w:tcW w:w="6792" w:type="dxa"/>
            <w:tcBorders/>
            <w:shd w:fill="FFFFFF" w:val="clear"/>
            <w:vAlign w:val="center"/>
          </w:tcPr>
          <w:p>
            <w:pPr>
              <w:pStyle w:val="TableContents"/>
              <w:bidi w:val="0"/>
              <w:spacing w:before="0" w:after="283"/>
              <w:jc w:val="left"/>
              <w:rPr/>
            </w:pPr>
            <w:r>
              <w:rPr/>
              <w:t>Right-of-use asset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56,275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78,620</w:t>
            </w:r>
          </w:p>
        </w:tc>
        <w:tc>
          <w:tcPr>
            <w:tcW w:w="513" w:type="dxa"/>
            <w:tcBorders/>
            <w:shd w:fill="FFFFFF" w:val="clear"/>
            <w:vAlign w:val="center"/>
          </w:tcPr>
          <w:p>
            <w:pPr>
              <w:pStyle w:val="TableContents"/>
              <w:bidi w:val="0"/>
              <w:spacing w:before="0" w:after="283"/>
              <w:ind w:left="0" w:right="0" w:firstLine="200"/>
              <w:jc w:val="left"/>
              <w:rPr/>
            </w:pPr>
            <w:r>
              <w:rPr/>
              <w:t> </w:t>
            </w:r>
          </w:p>
        </w:tc>
      </w:tr>
      <w:tr>
        <w:trPr/>
        <w:tc>
          <w:tcPr>
            <w:tcW w:w="6792"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911,219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922,171</w:t>
            </w:r>
          </w:p>
        </w:tc>
        <w:tc>
          <w:tcPr>
            <w:tcW w:w="513" w:type="dxa"/>
            <w:tcBorders/>
            <w:shd w:fill="CCEEFF" w:val="clear"/>
            <w:vAlign w:val="center"/>
          </w:tcPr>
          <w:p>
            <w:pPr>
              <w:pStyle w:val="TableContents"/>
              <w:bidi w:val="0"/>
              <w:spacing w:before="0" w:after="283"/>
              <w:ind w:left="0" w:right="0" w:firstLine="200"/>
              <w:jc w:val="left"/>
              <w:rPr/>
            </w:pPr>
            <w:r>
              <w:rPr/>
              <w:t> </w:t>
            </w:r>
          </w:p>
        </w:tc>
      </w:tr>
      <w:tr>
        <w:trPr/>
        <w:tc>
          <w:tcPr>
            <w:tcW w:w="6792" w:type="dxa"/>
            <w:tcBorders/>
            <w:shd w:fill="FFFFFF" w:val="clear"/>
            <w:vAlign w:val="center"/>
          </w:tcPr>
          <w:p>
            <w:pPr>
              <w:pStyle w:val="TableContents"/>
              <w:bidi w:val="0"/>
              <w:spacing w:before="0" w:after="283"/>
              <w:jc w:val="left"/>
              <w:rPr/>
            </w:pPr>
            <w:r>
              <w:rPr/>
              <w:t>Deferred offering cost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5,556,445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5,956,424</w:t>
            </w:r>
          </w:p>
        </w:tc>
        <w:tc>
          <w:tcPr>
            <w:tcW w:w="513" w:type="dxa"/>
            <w:tcBorders/>
            <w:shd w:fill="FFFFFF" w:val="clear"/>
            <w:vAlign w:val="center"/>
          </w:tcPr>
          <w:p>
            <w:pPr>
              <w:pStyle w:val="TableContents"/>
              <w:bidi w:val="0"/>
              <w:spacing w:before="0" w:after="283"/>
              <w:ind w:left="0" w:right="0" w:firstLine="200"/>
              <w:jc w:val="left"/>
              <w:rPr/>
            </w:pPr>
            <w:r>
              <w:rPr/>
              <w:t> </w:t>
            </w:r>
          </w:p>
        </w:tc>
      </w:tr>
      <w:tr>
        <w:trPr/>
        <w:tc>
          <w:tcPr>
            <w:tcW w:w="6792" w:type="dxa"/>
            <w:tcBorders/>
            <w:shd w:fill="CCEEFF" w:val="clear"/>
            <w:vAlign w:val="center"/>
          </w:tcPr>
          <w:p>
            <w:pPr>
              <w:pStyle w:val="TableContents"/>
              <w:bidi w:val="0"/>
              <w:spacing w:before="0" w:after="283"/>
              <w:jc w:val="left"/>
              <w:rPr/>
            </w:pPr>
            <w:r>
              <w:rPr/>
              <w:t>Security deposit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8,582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8,582</w:t>
            </w:r>
          </w:p>
        </w:tc>
        <w:tc>
          <w:tcPr>
            <w:tcW w:w="513" w:type="dxa"/>
            <w:tcBorders/>
            <w:shd w:fill="CCEEFF" w:val="clear"/>
            <w:vAlign w:val="center"/>
          </w:tcPr>
          <w:p>
            <w:pPr>
              <w:pStyle w:val="TableContents"/>
              <w:bidi w:val="0"/>
              <w:spacing w:before="0" w:after="283"/>
              <w:ind w:left="0" w:right="0" w:firstLine="402"/>
              <w:jc w:val="left"/>
              <w:rPr/>
            </w:pPr>
            <w:r>
              <w:rPr/>
              <w:t> </w:t>
            </w:r>
          </w:p>
        </w:tc>
      </w:tr>
      <w:tr>
        <w:trPr/>
        <w:tc>
          <w:tcPr>
            <w:tcW w:w="6792"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16,960,719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12,162,241</w:t>
            </w:r>
          </w:p>
        </w:tc>
        <w:tc>
          <w:tcPr>
            <w:tcW w:w="513" w:type="dxa"/>
            <w:tcBorders/>
            <w:shd w:fill="FFFFFF" w:val="clear"/>
            <w:vAlign w:val="center"/>
          </w:tcPr>
          <w:p>
            <w:pPr>
              <w:pStyle w:val="TableContents"/>
              <w:bidi w:val="0"/>
              <w:spacing w:before="0" w:after="283"/>
              <w:jc w:val="left"/>
              <w:rPr/>
            </w:pPr>
            <w:r>
              <w:rPr/>
              <w:t> </w:t>
            </w:r>
          </w:p>
        </w:tc>
      </w:tr>
      <w:tr>
        <w:trPr/>
        <w:tc>
          <w:tcPr>
            <w:tcW w:w="67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513" w:type="dxa"/>
            <w:tcBorders/>
            <w:shd w:fill="CCEEFF" w:val="clear"/>
            <w:vAlign w:val="center"/>
          </w:tcPr>
          <w:p>
            <w:pPr>
              <w:pStyle w:val="TableContents"/>
              <w:bidi w:val="0"/>
              <w:spacing w:before="0" w:after="283"/>
              <w:jc w:val="left"/>
              <w:rPr/>
            </w:pPr>
            <w:r>
              <w:rPr/>
              <w:t> </w:t>
            </w:r>
          </w:p>
        </w:tc>
      </w:tr>
      <w:tr>
        <w:trPr/>
        <w:tc>
          <w:tcPr>
            <w:tcW w:w="6792"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513" w:type="dxa"/>
            <w:tcBorders/>
            <w:shd w:fill="FFFFFF" w:val="clear"/>
            <w:vAlign w:val="center"/>
          </w:tcPr>
          <w:p>
            <w:pPr>
              <w:pStyle w:val="TableContents"/>
              <w:bidi w:val="0"/>
              <w:spacing w:before="0" w:after="283"/>
              <w:jc w:val="left"/>
              <w:rPr/>
            </w:pPr>
            <w:r>
              <w:rPr/>
              <w:t> </w:t>
            </w:r>
          </w:p>
        </w:tc>
      </w:tr>
      <w:tr>
        <w:trPr/>
        <w:tc>
          <w:tcPr>
            <w:tcW w:w="6792"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513" w:type="dxa"/>
            <w:tcBorders/>
            <w:shd w:fill="CCEEFF" w:val="clear"/>
            <w:vAlign w:val="center"/>
          </w:tcPr>
          <w:p>
            <w:pPr>
              <w:pStyle w:val="TableContents"/>
              <w:bidi w:val="0"/>
              <w:spacing w:before="0" w:after="283"/>
              <w:ind w:left="0" w:right="0" w:firstLine="200"/>
              <w:jc w:val="left"/>
              <w:rPr/>
            </w:pPr>
            <w:r>
              <w:rPr/>
              <w:t> </w:t>
            </w:r>
          </w:p>
        </w:tc>
      </w:tr>
      <w:tr>
        <w:trPr/>
        <w:tc>
          <w:tcPr>
            <w:tcW w:w="6792"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2,605,752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25" w:type="dxa"/>
            <w:tcBorders/>
            <w:shd w:fill="FFFFFF" w:val="clear"/>
            <w:vAlign w:val="center"/>
          </w:tcPr>
          <w:p>
            <w:pPr>
              <w:pStyle w:val="TableContents"/>
              <w:bidi w:val="0"/>
              <w:spacing w:before="0" w:after="283"/>
              <w:jc w:val="right"/>
              <w:rPr/>
            </w:pPr>
            <w:r>
              <w:rPr/>
              <w:t>2,928,728</w:t>
            </w:r>
          </w:p>
        </w:tc>
        <w:tc>
          <w:tcPr>
            <w:tcW w:w="513" w:type="dxa"/>
            <w:tcBorders/>
            <w:shd w:fill="FFFFFF" w:val="clear"/>
            <w:vAlign w:val="center"/>
          </w:tcPr>
          <w:p>
            <w:pPr>
              <w:pStyle w:val="TableContents"/>
              <w:bidi w:val="0"/>
              <w:spacing w:before="0" w:after="283"/>
              <w:ind w:left="0" w:right="0" w:firstLine="200"/>
              <w:jc w:val="left"/>
              <w:rPr/>
            </w:pPr>
            <w:r>
              <w:rPr/>
              <w:t> </w:t>
            </w:r>
          </w:p>
        </w:tc>
      </w:tr>
      <w:tr>
        <w:trPr/>
        <w:tc>
          <w:tcPr>
            <w:tcW w:w="6792" w:type="dxa"/>
            <w:tcBorders/>
            <w:shd w:fill="CCEEFF" w:val="clear"/>
            <w:vAlign w:val="center"/>
          </w:tcPr>
          <w:p>
            <w:pPr>
              <w:pStyle w:val="TableContents"/>
              <w:bidi w:val="0"/>
              <w:spacing w:before="0" w:after="283"/>
              <w:jc w:val="left"/>
              <w:rPr/>
            </w:pPr>
            <w:r>
              <w:rPr/>
              <w:t>Derivative liability instrument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6,109,030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3,028,401</w:t>
            </w:r>
          </w:p>
        </w:tc>
        <w:tc>
          <w:tcPr>
            <w:tcW w:w="513" w:type="dxa"/>
            <w:tcBorders/>
            <w:shd w:fill="CCEEFF" w:val="clear"/>
            <w:vAlign w:val="center"/>
          </w:tcPr>
          <w:p>
            <w:pPr>
              <w:pStyle w:val="TableContents"/>
              <w:bidi w:val="0"/>
              <w:spacing w:before="0" w:after="283"/>
              <w:ind w:left="0" w:right="0" w:firstLine="200"/>
              <w:jc w:val="left"/>
              <w:rPr/>
            </w:pPr>
            <w:r>
              <w:rPr/>
              <w:t> </w:t>
            </w:r>
          </w:p>
        </w:tc>
      </w:tr>
      <w:tr>
        <w:trPr/>
        <w:tc>
          <w:tcPr>
            <w:tcW w:w="6792" w:type="dxa"/>
            <w:tcBorders/>
            <w:shd w:fill="FFFFFF" w:val="clear"/>
            <w:vAlign w:val="center"/>
          </w:tcPr>
          <w:p>
            <w:pPr>
              <w:pStyle w:val="TableContents"/>
              <w:bidi w:val="0"/>
              <w:spacing w:before="0" w:after="283"/>
              <w:jc w:val="left"/>
              <w:rPr/>
            </w:pPr>
            <w:r>
              <w:rPr/>
              <w:t>Current portion of 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49,329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46,295</w:t>
            </w:r>
          </w:p>
        </w:tc>
        <w:tc>
          <w:tcPr>
            <w:tcW w:w="513" w:type="dxa"/>
            <w:tcBorders/>
            <w:shd w:fill="FFFFFF" w:val="clear"/>
            <w:vAlign w:val="center"/>
          </w:tcPr>
          <w:p>
            <w:pPr>
              <w:pStyle w:val="TableContents"/>
              <w:bidi w:val="0"/>
              <w:spacing w:before="0" w:after="283"/>
              <w:ind w:left="0" w:right="0" w:firstLine="402"/>
              <w:jc w:val="left"/>
              <w:rPr/>
            </w:pPr>
            <w:r>
              <w:rPr/>
              <w:t> </w:t>
            </w:r>
          </w:p>
        </w:tc>
      </w:tr>
      <w:tr>
        <w:trPr/>
        <w:tc>
          <w:tcPr>
            <w:tcW w:w="6792"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8,764,111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b/>
              </w:rPr>
            </w:pPr>
            <w:r>
              <w:rPr>
                <w:b/>
              </w:rPr>
              <w:t>6,003,424</w:t>
            </w:r>
          </w:p>
        </w:tc>
        <w:tc>
          <w:tcPr>
            <w:tcW w:w="513" w:type="dxa"/>
            <w:tcBorders/>
            <w:shd w:fill="CCEEFF" w:val="clear"/>
            <w:vAlign w:val="center"/>
          </w:tcPr>
          <w:p>
            <w:pPr>
              <w:pStyle w:val="TableContents"/>
              <w:bidi w:val="0"/>
              <w:spacing w:before="0" w:after="283"/>
              <w:ind w:left="0" w:right="0" w:firstLine="200"/>
              <w:jc w:val="left"/>
              <w:rPr/>
            </w:pPr>
            <w:r>
              <w:rPr/>
              <w:t> </w:t>
            </w:r>
          </w:p>
        </w:tc>
      </w:tr>
      <w:tr>
        <w:trPr/>
        <w:tc>
          <w:tcPr>
            <w:tcW w:w="6792" w:type="dxa"/>
            <w:tcBorders/>
            <w:shd w:fill="FFFFFF" w:val="clear"/>
            <w:vAlign w:val="center"/>
          </w:tcPr>
          <w:p>
            <w:pPr>
              <w:pStyle w:val="TableContents"/>
              <w:bidi w:val="0"/>
              <w:spacing w:before="0" w:after="283"/>
              <w:jc w:val="left"/>
              <w:rPr/>
            </w:pPr>
            <w:r>
              <w:rPr/>
              <w:t>Operating 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8,713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34,081</w:t>
            </w:r>
          </w:p>
        </w:tc>
        <w:tc>
          <w:tcPr>
            <w:tcW w:w="513" w:type="dxa"/>
            <w:tcBorders/>
            <w:shd w:fill="FFFFFF" w:val="clear"/>
            <w:vAlign w:val="center"/>
          </w:tcPr>
          <w:p>
            <w:pPr>
              <w:pStyle w:val="TableContents"/>
              <w:bidi w:val="0"/>
              <w:spacing w:before="0" w:after="283"/>
              <w:ind w:left="0" w:right="0" w:firstLine="200"/>
              <w:jc w:val="left"/>
              <w:rPr/>
            </w:pPr>
            <w:r>
              <w:rPr/>
              <w:t> </w:t>
            </w:r>
          </w:p>
        </w:tc>
      </w:tr>
      <w:tr>
        <w:trPr/>
        <w:tc>
          <w:tcPr>
            <w:tcW w:w="6792" w:type="dxa"/>
            <w:tcBorders/>
            <w:shd w:fill="CCEEFF" w:val="clear"/>
            <w:vAlign w:val="center"/>
          </w:tcPr>
          <w:p>
            <w:pPr>
              <w:pStyle w:val="TableContents"/>
              <w:bidi w:val="0"/>
              <w:spacing w:before="0" w:after="283"/>
              <w:jc w:val="left"/>
              <w:rPr/>
            </w:pPr>
            <w:r>
              <w:rPr/>
              <w:t>Long-term debt,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6,062,994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513" w:type="dxa"/>
            <w:tcBorders/>
            <w:shd w:fill="CCEEFF" w:val="clear"/>
            <w:vAlign w:val="center"/>
          </w:tcPr>
          <w:p>
            <w:pPr>
              <w:pStyle w:val="TableContents"/>
              <w:bidi w:val="0"/>
              <w:spacing w:before="0" w:after="283"/>
              <w:ind w:left="0" w:right="0" w:firstLine="200"/>
              <w:jc w:val="left"/>
              <w:rPr/>
            </w:pPr>
            <w:r>
              <w:rPr/>
              <w:t> </w:t>
            </w:r>
          </w:p>
        </w:tc>
      </w:tr>
      <w:tr>
        <w:trPr/>
        <w:tc>
          <w:tcPr>
            <w:tcW w:w="6792"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1,438,013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1,438,013</w:t>
            </w:r>
          </w:p>
        </w:tc>
        <w:tc>
          <w:tcPr>
            <w:tcW w:w="513" w:type="dxa"/>
            <w:tcBorders/>
            <w:shd w:fill="FFFFFF" w:val="clear"/>
            <w:vAlign w:val="center"/>
          </w:tcPr>
          <w:p>
            <w:pPr>
              <w:pStyle w:val="TableContents"/>
              <w:bidi w:val="0"/>
              <w:spacing w:before="0" w:after="283"/>
              <w:ind w:left="0" w:right="0" w:firstLine="402"/>
              <w:jc w:val="left"/>
              <w:rPr/>
            </w:pPr>
            <w:r>
              <w:rPr/>
              <w:t> </w:t>
            </w:r>
          </w:p>
        </w:tc>
      </w:tr>
      <w:tr>
        <w:trPr/>
        <w:tc>
          <w:tcPr>
            <w:tcW w:w="6792"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16,273,831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7,475,518</w:t>
            </w:r>
          </w:p>
        </w:tc>
        <w:tc>
          <w:tcPr>
            <w:tcW w:w="513" w:type="dxa"/>
            <w:tcBorders/>
            <w:shd w:fill="CCEEFF" w:val="clear"/>
            <w:vAlign w:val="center"/>
          </w:tcPr>
          <w:p>
            <w:pPr>
              <w:pStyle w:val="TableContents"/>
              <w:bidi w:val="0"/>
              <w:spacing w:before="0" w:after="283"/>
              <w:jc w:val="left"/>
              <w:rPr/>
            </w:pPr>
            <w:r>
              <w:rPr/>
              <w:t> </w:t>
            </w:r>
          </w:p>
        </w:tc>
      </w:tr>
      <w:tr>
        <w:trPr/>
        <w:tc>
          <w:tcPr>
            <w:tcW w:w="6792" w:type="dxa"/>
            <w:tcBorders/>
            <w:shd w:fill="FFFFFF" w:val="clear"/>
            <w:vAlign w:val="center"/>
          </w:tcPr>
          <w:p>
            <w:pPr>
              <w:pStyle w:val="TableContents"/>
              <w:bidi w:val="0"/>
              <w:spacing w:before="0" w:after="283"/>
              <w:jc w:val="left"/>
              <w:rPr/>
            </w:pPr>
            <w:r>
              <w:rPr/>
              <w:t>Commitments and contingencies (Note 11)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513" w:type="dxa"/>
            <w:tcBorders/>
            <w:shd w:fill="FFFFFF" w:val="clear"/>
            <w:vAlign w:val="center"/>
          </w:tcPr>
          <w:p>
            <w:pPr>
              <w:pStyle w:val="TableContents"/>
              <w:bidi w:val="0"/>
              <w:spacing w:before="0" w:after="283"/>
              <w:jc w:val="left"/>
              <w:rPr/>
            </w:pPr>
            <w:r>
              <w:rPr/>
              <w:t> </w:t>
            </w:r>
          </w:p>
        </w:tc>
      </w:tr>
      <w:tr>
        <w:trPr/>
        <w:tc>
          <w:tcPr>
            <w:tcW w:w="67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513" w:type="dxa"/>
            <w:tcBorders/>
            <w:shd w:fill="CCEEFF" w:val="clear"/>
            <w:vAlign w:val="center"/>
          </w:tcPr>
          <w:p>
            <w:pPr>
              <w:pStyle w:val="TableContents"/>
              <w:bidi w:val="0"/>
              <w:spacing w:before="0" w:after="283"/>
              <w:jc w:val="left"/>
              <w:rPr/>
            </w:pPr>
            <w:r>
              <w:rPr/>
              <w:t> </w:t>
            </w:r>
          </w:p>
        </w:tc>
      </w:tr>
      <w:tr>
        <w:trPr/>
        <w:tc>
          <w:tcPr>
            <w:tcW w:w="6792"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513" w:type="dxa"/>
            <w:tcBorders/>
            <w:shd w:fill="FFFFFF" w:val="clear"/>
            <w:vAlign w:val="center"/>
          </w:tcPr>
          <w:p>
            <w:pPr>
              <w:pStyle w:val="TableContents"/>
              <w:bidi w:val="0"/>
              <w:spacing w:before="0" w:after="283"/>
              <w:ind w:left="0" w:right="0" w:hanging="180"/>
              <w:jc w:val="left"/>
              <w:rPr/>
            </w:pPr>
            <w:r>
              <w:rPr/>
              <w:t> </w:t>
            </w:r>
          </w:p>
        </w:tc>
      </w:tr>
      <w:tr>
        <w:trPr/>
        <w:tc>
          <w:tcPr>
            <w:tcW w:w="6792" w:type="dxa"/>
            <w:tcBorders/>
            <w:shd w:fill="CCEEFF" w:val="clear"/>
            <w:vAlign w:val="center"/>
          </w:tcPr>
          <w:p>
            <w:pPr>
              <w:pStyle w:val="TableContents"/>
              <w:bidi w:val="0"/>
              <w:spacing w:before="0" w:after="283"/>
              <w:jc w:val="both"/>
              <w:rPr/>
            </w:pPr>
            <w:r>
              <w:rPr/>
              <w:t>Common Stock, $0.0001 par value, 500 million shares authorized at June 30, 2026 and December 31, 2025; 29,788,040 and 29,445,183 shares issued at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2,977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2,943</w:t>
            </w:r>
          </w:p>
        </w:tc>
        <w:tc>
          <w:tcPr>
            <w:tcW w:w="513" w:type="dxa"/>
            <w:tcBorders/>
            <w:shd w:fill="CCEEFF" w:val="clear"/>
            <w:vAlign w:val="center"/>
          </w:tcPr>
          <w:p>
            <w:pPr>
              <w:pStyle w:val="TableContents"/>
              <w:bidi w:val="0"/>
              <w:spacing w:before="0" w:after="283"/>
              <w:ind w:left="0" w:right="0" w:firstLine="200"/>
              <w:jc w:val="left"/>
              <w:rPr/>
            </w:pPr>
            <w:r>
              <w:rPr/>
              <w:t> </w:t>
            </w:r>
          </w:p>
        </w:tc>
      </w:tr>
      <w:tr>
        <w:trPr/>
        <w:tc>
          <w:tcPr>
            <w:tcW w:w="6792"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29,894,869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28,143,873</w:t>
            </w:r>
          </w:p>
        </w:tc>
        <w:tc>
          <w:tcPr>
            <w:tcW w:w="513" w:type="dxa"/>
            <w:tcBorders/>
            <w:shd w:fill="FFFFFF" w:val="clear"/>
            <w:vAlign w:val="center"/>
          </w:tcPr>
          <w:p>
            <w:pPr>
              <w:pStyle w:val="TableContents"/>
              <w:bidi w:val="0"/>
              <w:spacing w:before="0" w:after="283"/>
              <w:ind w:left="0" w:right="0" w:firstLine="200"/>
              <w:jc w:val="left"/>
              <w:rPr/>
            </w:pPr>
            <w:r>
              <w:rPr/>
              <w:t> </w:t>
            </w:r>
          </w:p>
        </w:tc>
      </w:tr>
      <w:tr>
        <w:trPr/>
        <w:tc>
          <w:tcPr>
            <w:tcW w:w="6792" w:type="dxa"/>
            <w:tcBorders/>
            <w:shd w:fill="CCEEFF" w:val="clear"/>
            <w:vAlign w:val="center"/>
          </w:tcPr>
          <w:p>
            <w:pPr>
              <w:pStyle w:val="TableContents"/>
              <w:bidi w:val="0"/>
              <w:spacing w:before="0" w:after="283"/>
              <w:jc w:val="left"/>
              <w:rPr/>
            </w:pPr>
            <w:r>
              <w:rPr/>
              <w:t>Subscription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(1,070,000</w:t>
            </w:r>
          </w:p>
        </w:tc>
        <w:tc>
          <w:tcPr>
            <w:tcW w:w="513" w:type="dxa"/>
            <w:tcBorders/>
            <w:shd w:fill="CCEEFF" w:val="clear"/>
            <w:vAlign w:val="center"/>
          </w:tcPr>
          <w:p>
            <w:pPr>
              <w:pStyle w:val="TableContents"/>
              <w:bidi w:val="0"/>
              <w:spacing w:before="0" w:after="283"/>
              <w:ind w:left="0" w:right="0" w:firstLine="200"/>
              <w:jc w:val="left"/>
              <w:rPr/>
            </w:pPr>
            <w:r>
              <w:rPr/>
              <w:t>)</w:t>
            </w:r>
          </w:p>
        </w:tc>
      </w:tr>
      <w:tr>
        <w:trPr/>
        <w:tc>
          <w:tcPr>
            <w:tcW w:w="6792"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(29,210,958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(22,390,093</w:t>
            </w:r>
          </w:p>
        </w:tc>
        <w:tc>
          <w:tcPr>
            <w:tcW w:w="513" w:type="dxa"/>
            <w:tcBorders/>
            <w:shd w:fill="FFFFFF" w:val="clear"/>
            <w:vAlign w:val="center"/>
          </w:tcPr>
          <w:p>
            <w:pPr>
              <w:pStyle w:val="TableContents"/>
              <w:bidi w:val="0"/>
              <w:spacing w:before="0" w:after="283"/>
              <w:ind w:left="0" w:right="0" w:firstLine="402"/>
              <w:jc w:val="left"/>
              <w:rPr/>
            </w:pPr>
            <w:r>
              <w:rPr/>
              <w:t>)</w:t>
            </w:r>
          </w:p>
        </w:tc>
      </w:tr>
      <w:tr>
        <w:trPr/>
        <w:tc>
          <w:tcPr>
            <w:tcW w:w="6792"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686,888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4,686,723</w:t>
            </w:r>
          </w:p>
        </w:tc>
        <w:tc>
          <w:tcPr>
            <w:tcW w:w="513" w:type="dxa"/>
            <w:tcBorders/>
            <w:shd w:fill="CCEEFF" w:val="clear"/>
            <w:vAlign w:val="center"/>
          </w:tcPr>
          <w:p>
            <w:pPr>
              <w:pStyle w:val="TableContents"/>
              <w:bidi w:val="0"/>
              <w:spacing w:before="0" w:after="283"/>
              <w:ind w:left="0" w:right="0" w:firstLine="402"/>
              <w:jc w:val="left"/>
              <w:rPr/>
            </w:pPr>
            <w:r>
              <w:rPr/>
              <w:t> </w:t>
            </w:r>
          </w:p>
        </w:tc>
      </w:tr>
      <w:tr>
        <w:trPr/>
        <w:tc>
          <w:tcPr>
            <w:tcW w:w="6792"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16,960,719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12,162,241</w:t>
            </w:r>
          </w:p>
        </w:tc>
        <w:tc>
          <w:tcPr>
            <w:tcW w:w="5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TURN THERAPEUTICS INC.</w:t>
      </w:r>
    </w:p>
    <w:p>
      <w:pPr>
        <w:pStyle w:val="TextBody"/>
        <w:bidi w:val="0"/>
        <w:spacing w:before="0" w:after="0"/>
        <w:ind w:left="0" w:right="0" w:hanging="0"/>
        <w:jc w:val="center"/>
        <w:rPr>
          <w:rFonts w:ascii="Times New Roman;Times;Serif" w:hAnsi="Times New Roman;Times;Serif"/>
          <w:b/>
          <w:i w:val="false"/>
          <w:smallCaps/>
          <w:sz w:val="20"/>
        </w:rPr>
      </w:pPr>
      <w:bookmarkStart w:id="5" w:name="a_004"/>
      <w:bookmarkEnd w:id="5"/>
      <w:r>
        <w:rPr>
          <w:rFonts w:ascii="Times New Roman;Times;Serif" w:hAnsi="Times New Roman;Times;Serif"/>
          <w:b/>
          <w:i w:val="false"/>
          <w:smallCaps/>
          <w:sz w:val="20"/>
        </w:rPr>
        <w:t>Condensed 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43"/>
        <w:gridCol w:w="60"/>
        <w:gridCol w:w="140"/>
        <w:gridCol w:w="1100"/>
        <w:gridCol w:w="95"/>
        <w:gridCol w:w="60"/>
        <w:gridCol w:w="140"/>
        <w:gridCol w:w="1100"/>
        <w:gridCol w:w="95"/>
        <w:gridCol w:w="60"/>
        <w:gridCol w:w="140"/>
        <w:gridCol w:w="1100"/>
        <w:gridCol w:w="95"/>
        <w:gridCol w:w="60"/>
        <w:gridCol w:w="140"/>
        <w:gridCol w:w="1100"/>
        <w:gridCol w:w="477"/>
      </w:tblGrid>
      <w:tr>
        <w:trPr/>
        <w:tc>
          <w:tcPr>
            <w:tcW w:w="4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477" w:type="dxa"/>
            <w:tcBorders/>
            <w:vAlign w:val="center"/>
          </w:tcPr>
          <w:p>
            <w:pPr>
              <w:pStyle w:val="TableContents"/>
              <w:bidi w:val="0"/>
              <w:spacing w:before="0" w:after="283"/>
              <w:jc w:val="left"/>
              <w:rPr/>
            </w:pPr>
            <w:r>
              <w:rPr/>
              <w:t> </w:t>
            </w:r>
          </w:p>
        </w:tc>
      </w:tr>
      <w:tr>
        <w:trPr/>
        <w:tc>
          <w:tcPr>
            <w:tcW w:w="4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477" w:type="dxa"/>
            <w:tcBorders/>
            <w:vAlign w:val="center"/>
          </w:tcPr>
          <w:p>
            <w:pPr>
              <w:pStyle w:val="TableContents"/>
              <w:bidi w:val="0"/>
              <w:spacing w:before="0" w:after="283"/>
              <w:jc w:val="left"/>
              <w:rPr/>
            </w:pPr>
            <w:r>
              <w:rPr/>
              <w:t> </w:t>
            </w:r>
          </w:p>
        </w:tc>
      </w:tr>
      <w:tr>
        <w:trPr/>
        <w:tc>
          <w:tcPr>
            <w:tcW w:w="4243" w:type="dxa"/>
            <w:tcBorders/>
            <w:vAlign w:val="center"/>
          </w:tcPr>
          <w:p>
            <w:pPr>
              <w:pStyle w:val="TableContents"/>
              <w:bidi w:val="0"/>
              <w:spacing w:before="0" w:after="283"/>
              <w:jc w:val="left"/>
              <w:rPr>
                <w:b/>
              </w:rPr>
            </w:pPr>
            <w:r>
              <w:rPr>
                <w:b/>
              </w:rPr>
              <w:t>Operating expenses: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477" w:type="dxa"/>
            <w:tcBorders/>
            <w:vAlign w:val="center"/>
          </w:tcPr>
          <w:p>
            <w:pPr>
              <w:pStyle w:val="TableContents"/>
              <w:bidi w:val="0"/>
              <w:spacing w:before="0" w:after="283"/>
              <w:ind w:left="0" w:right="0" w:firstLine="200"/>
              <w:jc w:val="left"/>
              <w:rPr/>
            </w:pPr>
            <w:r>
              <w:rPr/>
              <w:t> </w:t>
            </w:r>
          </w:p>
        </w:tc>
      </w:tr>
      <w:tr>
        <w:trPr/>
        <w:tc>
          <w:tcPr>
            <w:tcW w:w="4243"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1,152,996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1,303,846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2,258,325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1,679,591</w:t>
            </w:r>
          </w:p>
        </w:tc>
        <w:tc>
          <w:tcPr>
            <w:tcW w:w="477" w:type="dxa"/>
            <w:tcBorders/>
            <w:shd w:fill="CCEEFF" w:val="clear"/>
            <w:vAlign w:val="center"/>
          </w:tcPr>
          <w:p>
            <w:pPr>
              <w:pStyle w:val="TableContents"/>
              <w:bidi w:val="0"/>
              <w:spacing w:before="0" w:after="283"/>
              <w:ind w:left="0" w:right="0" w:firstLine="200"/>
              <w:jc w:val="left"/>
              <w:rPr/>
            </w:pPr>
            <w:r>
              <w:rPr/>
              <w:t> </w:t>
            </w:r>
          </w:p>
        </w:tc>
      </w:tr>
      <w:tr>
        <w:trPr/>
        <w:tc>
          <w:tcPr>
            <w:tcW w:w="4243"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475,064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62,678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584,498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71,937</w:t>
            </w:r>
          </w:p>
        </w:tc>
        <w:tc>
          <w:tcPr>
            <w:tcW w:w="477" w:type="dxa"/>
            <w:tcBorders/>
            <w:shd w:fill="FFFFFF" w:val="clear"/>
            <w:vAlign w:val="center"/>
          </w:tcPr>
          <w:p>
            <w:pPr>
              <w:pStyle w:val="TableContents"/>
              <w:bidi w:val="0"/>
              <w:spacing w:before="0" w:after="283"/>
              <w:ind w:left="0" w:right="0" w:firstLine="402"/>
              <w:jc w:val="left"/>
              <w:rPr/>
            </w:pPr>
            <w:r>
              <w:rPr/>
              <w:t> </w:t>
            </w:r>
          </w:p>
        </w:tc>
      </w:tr>
      <w:tr>
        <w:trPr/>
        <w:tc>
          <w:tcPr>
            <w:tcW w:w="4243"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1,628,060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1,366,524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2,842,823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1,751,528</w:t>
            </w:r>
          </w:p>
        </w:tc>
        <w:tc>
          <w:tcPr>
            <w:tcW w:w="477" w:type="dxa"/>
            <w:tcBorders/>
            <w:shd w:fill="CCEEFF" w:val="clear"/>
            <w:vAlign w:val="center"/>
          </w:tcPr>
          <w:p>
            <w:pPr>
              <w:pStyle w:val="TableContents"/>
              <w:bidi w:val="0"/>
              <w:spacing w:before="0" w:after="283"/>
              <w:ind w:left="0" w:right="0" w:firstLine="402"/>
              <w:jc w:val="left"/>
              <w:rPr/>
            </w:pPr>
            <w:r>
              <w:rPr/>
              <w:t> </w:t>
            </w:r>
          </w:p>
        </w:tc>
      </w:tr>
      <w:tr>
        <w:trPr/>
        <w:tc>
          <w:tcPr>
            <w:tcW w:w="4243"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(1,628,060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(1,366,524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(2,842,823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(1,751,528</w:t>
            </w:r>
          </w:p>
        </w:tc>
        <w:tc>
          <w:tcPr>
            <w:tcW w:w="477" w:type="dxa"/>
            <w:tcBorders/>
            <w:shd w:fill="FFFFFF" w:val="clear"/>
            <w:vAlign w:val="center"/>
          </w:tcPr>
          <w:p>
            <w:pPr>
              <w:pStyle w:val="TableContents"/>
              <w:bidi w:val="0"/>
              <w:spacing w:before="0" w:after="283"/>
              <w:jc w:val="left"/>
              <w:rPr>
                <w:b/>
              </w:rPr>
            </w:pPr>
            <w:r>
              <w:rPr>
                <w:b/>
              </w:rPr>
              <w:t>)</w:t>
            </w:r>
          </w:p>
        </w:tc>
      </w:tr>
      <w:tr>
        <w:trPr/>
        <w:tc>
          <w:tcPr>
            <w:tcW w:w="4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477" w:type="dxa"/>
            <w:tcBorders/>
            <w:shd w:fill="CCEEFF" w:val="clear"/>
            <w:vAlign w:val="center"/>
          </w:tcPr>
          <w:p>
            <w:pPr>
              <w:pStyle w:val="TableContents"/>
              <w:bidi w:val="0"/>
              <w:spacing w:before="0" w:after="283"/>
              <w:jc w:val="left"/>
              <w:rPr/>
            </w:pPr>
            <w:r>
              <w:rPr/>
              <w:t> </w:t>
            </w:r>
          </w:p>
        </w:tc>
      </w:tr>
      <w:tr>
        <w:trPr/>
        <w:tc>
          <w:tcPr>
            <w:tcW w:w="4243"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477" w:type="dxa"/>
            <w:tcBorders/>
            <w:shd w:fill="FFFFFF" w:val="clear"/>
            <w:vAlign w:val="center"/>
          </w:tcPr>
          <w:p>
            <w:pPr>
              <w:pStyle w:val="TableContents"/>
              <w:bidi w:val="0"/>
              <w:spacing w:before="0" w:after="283"/>
              <w:ind w:left="0" w:right="0" w:hanging="144"/>
              <w:jc w:val="left"/>
              <w:rPr/>
            </w:pPr>
            <w:r>
              <w:rPr/>
              <w:t> </w:t>
            </w:r>
          </w:p>
        </w:tc>
      </w:tr>
      <w:tr>
        <w:trPr/>
        <w:tc>
          <w:tcPr>
            <w:tcW w:w="4243" w:type="dxa"/>
            <w:tcBorders/>
            <w:shd w:fill="CCEEFF" w:val="clear"/>
            <w:vAlign w:val="center"/>
          </w:tcPr>
          <w:p>
            <w:pPr>
              <w:pStyle w:val="TableContents"/>
              <w:bidi w:val="0"/>
              <w:spacing w:before="0" w:after="283"/>
              <w:jc w:val="left"/>
              <w:rPr/>
            </w:pPr>
            <w:r>
              <w:rPr/>
              <w:t>Net loss from change in fair value of derivative liability instrument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(3,341,568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(2,644,007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477" w:type="dxa"/>
            <w:tcBorders/>
            <w:shd w:fill="CCEEFF" w:val="clear"/>
            <w:vAlign w:val="center"/>
          </w:tcPr>
          <w:p>
            <w:pPr>
              <w:pStyle w:val="TableContents"/>
              <w:bidi w:val="0"/>
              <w:spacing w:before="0" w:after="283"/>
              <w:ind w:left="0" w:right="0" w:hanging="144"/>
              <w:jc w:val="left"/>
              <w:rPr/>
            </w:pPr>
            <w:r>
              <w:rPr/>
              <w:t> </w:t>
            </w:r>
          </w:p>
        </w:tc>
      </w:tr>
      <w:tr>
        <w:trPr/>
        <w:tc>
          <w:tcPr>
            <w:tcW w:w="4243" w:type="dxa"/>
            <w:tcBorders/>
            <w:shd w:fill="FFFFFF" w:val="clear"/>
            <w:vAlign w:val="center"/>
          </w:tcPr>
          <w:p>
            <w:pPr>
              <w:pStyle w:val="TableContents"/>
              <w:bidi w:val="0"/>
              <w:spacing w:before="0" w:after="283"/>
              <w:jc w:val="left"/>
              <w:rPr/>
            </w:pPr>
            <w:r>
              <w:rPr/>
              <w:t>Amortization of deferred offering cost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(638,747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(1,116,394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477" w:type="dxa"/>
            <w:tcBorders/>
            <w:shd w:fill="FFFFFF" w:val="clear"/>
            <w:vAlign w:val="center"/>
          </w:tcPr>
          <w:p>
            <w:pPr>
              <w:pStyle w:val="TableContents"/>
              <w:bidi w:val="0"/>
              <w:spacing w:before="0" w:after="283"/>
              <w:ind w:left="0" w:right="0" w:firstLine="200"/>
              <w:jc w:val="left"/>
              <w:rPr/>
            </w:pPr>
            <w:r>
              <w:rPr/>
              <w:t> </w:t>
            </w:r>
          </w:p>
        </w:tc>
      </w:tr>
      <w:tr>
        <w:trPr/>
        <w:tc>
          <w:tcPr>
            <w:tcW w:w="4243" w:type="dxa"/>
            <w:tcBorders/>
            <w:shd w:fill="CCEEFF" w:val="clear"/>
            <w:vAlign w:val="center"/>
          </w:tcPr>
          <w:p>
            <w:pPr>
              <w:pStyle w:val="TableContents"/>
              <w:bidi w:val="0"/>
              <w:spacing w:before="0" w:after="283"/>
              <w:jc w:val="left"/>
              <w:rPr/>
            </w:pPr>
            <w:r>
              <w:rPr/>
              <w:t>Interest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(241,359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(223,219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10,296</w:t>
            </w:r>
          </w:p>
        </w:tc>
        <w:tc>
          <w:tcPr>
            <w:tcW w:w="477" w:type="dxa"/>
            <w:tcBorders/>
            <w:shd w:fill="CCEEFF" w:val="clear"/>
            <w:vAlign w:val="center"/>
          </w:tcPr>
          <w:p>
            <w:pPr>
              <w:pStyle w:val="TableContents"/>
              <w:bidi w:val="0"/>
              <w:spacing w:before="0" w:after="283"/>
              <w:jc w:val="left"/>
              <w:rPr/>
            </w:pPr>
            <w:r>
              <w:rPr/>
              <w:t> </w:t>
            </w:r>
          </w:p>
        </w:tc>
      </w:tr>
      <w:tr>
        <w:trPr/>
        <w:tc>
          <w:tcPr>
            <w:tcW w:w="4243"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120,975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5,578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172,260</w:t>
            </w:r>
          </w:p>
        </w:tc>
        <w:tc>
          <w:tcPr>
            <w:tcW w:w="477" w:type="dxa"/>
            <w:tcBorders/>
            <w:shd w:fill="FFFFFF" w:val="clear"/>
            <w:vAlign w:val="center"/>
          </w:tcPr>
          <w:p>
            <w:pPr>
              <w:pStyle w:val="TableContents"/>
              <w:bidi w:val="0"/>
              <w:spacing w:before="0" w:after="283"/>
              <w:ind w:left="0" w:right="0" w:firstLine="201"/>
              <w:jc w:val="left"/>
              <w:rPr/>
            </w:pPr>
            <w:r>
              <w:rPr/>
              <w:t> </w:t>
            </w:r>
          </w:p>
        </w:tc>
      </w:tr>
      <w:tr>
        <w:trPr/>
        <w:tc>
          <w:tcPr>
            <w:tcW w:w="4243" w:type="dxa"/>
            <w:tcBorders/>
            <w:shd w:fill="CCEEFF" w:val="clear"/>
            <w:vAlign w:val="center"/>
          </w:tcPr>
          <w:p>
            <w:pPr>
              <w:pStyle w:val="TableContents"/>
              <w:bidi w:val="0"/>
              <w:spacing w:before="0" w:after="283"/>
              <w:jc w:val="left"/>
              <w:rPr>
                <w:b/>
              </w:rPr>
            </w:pPr>
            <w:r>
              <w:rPr>
                <w:b/>
              </w:rPr>
              <w:t>Total 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(4,221,674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126,109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(3,978,042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182,556</w:t>
            </w:r>
          </w:p>
        </w:tc>
        <w:tc>
          <w:tcPr>
            <w:tcW w:w="477" w:type="dxa"/>
            <w:tcBorders/>
            <w:shd w:fill="CCEEFF" w:val="clear"/>
            <w:vAlign w:val="center"/>
          </w:tcPr>
          <w:p>
            <w:pPr>
              <w:pStyle w:val="TableContents"/>
              <w:bidi w:val="0"/>
              <w:spacing w:before="0" w:after="283"/>
              <w:jc w:val="left"/>
              <w:rPr/>
            </w:pPr>
            <w:r>
              <w:rPr/>
              <w:t> </w:t>
            </w:r>
          </w:p>
        </w:tc>
      </w:tr>
      <w:tr>
        <w:trPr/>
        <w:tc>
          <w:tcPr>
            <w:tcW w:w="4243"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(5,849,734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(1,240,415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(6,820,865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(1,568,972</w:t>
            </w:r>
          </w:p>
        </w:tc>
        <w:tc>
          <w:tcPr>
            <w:tcW w:w="477" w:type="dxa"/>
            <w:tcBorders/>
            <w:shd w:fill="FFFFFF" w:val="clear"/>
            <w:vAlign w:val="center"/>
          </w:tcPr>
          <w:p>
            <w:pPr>
              <w:pStyle w:val="TableContents"/>
              <w:bidi w:val="0"/>
              <w:spacing w:before="0" w:after="283"/>
              <w:jc w:val="left"/>
              <w:rPr>
                <w:b/>
              </w:rPr>
            </w:pPr>
            <w:r>
              <w:rPr>
                <w:b/>
              </w:rPr>
              <w:t>)</w:t>
            </w:r>
          </w:p>
        </w:tc>
      </w:tr>
      <w:tr>
        <w:trPr/>
        <w:tc>
          <w:tcPr>
            <w:tcW w:w="4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477" w:type="dxa"/>
            <w:tcBorders/>
            <w:shd w:fill="CCEEFF" w:val="clear"/>
            <w:vAlign w:val="center"/>
          </w:tcPr>
          <w:p>
            <w:pPr>
              <w:pStyle w:val="TableContents"/>
              <w:bidi w:val="0"/>
              <w:spacing w:before="0" w:after="283"/>
              <w:ind w:left="0" w:right="0" w:hanging="144"/>
              <w:jc w:val="left"/>
              <w:rPr/>
            </w:pPr>
            <w:r>
              <w:rPr/>
              <w:t> </w:t>
            </w:r>
          </w:p>
        </w:tc>
      </w:tr>
      <w:tr>
        <w:trPr/>
        <w:tc>
          <w:tcPr>
            <w:tcW w:w="4243" w:type="dxa"/>
            <w:tcBorders/>
            <w:shd w:fill="FFFFFF" w:val="clear"/>
            <w:vAlign w:val="center"/>
          </w:tcPr>
          <w:p>
            <w:pPr>
              <w:pStyle w:val="TableContents"/>
              <w:bidi w:val="0"/>
              <w:spacing w:before="0" w:after="283"/>
              <w:jc w:val="left"/>
              <w:rPr/>
            </w:pPr>
            <w:r>
              <w:rPr/>
              <w:t>Basic and diluted net loss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(0.06</w:t>
            </w:r>
          </w:p>
        </w:tc>
        <w:tc>
          <w:tcPr>
            <w:tcW w:w="477" w:type="dxa"/>
            <w:tcBorders/>
            <w:shd w:fill="FFFFFF" w:val="clear"/>
            <w:vAlign w:val="center"/>
          </w:tcPr>
          <w:p>
            <w:pPr>
              <w:pStyle w:val="TableContents"/>
              <w:bidi w:val="0"/>
              <w:spacing w:before="0" w:after="283"/>
              <w:ind w:left="0" w:right="0" w:hanging="144"/>
              <w:jc w:val="left"/>
              <w:rPr/>
            </w:pPr>
            <w:r>
              <w:rPr/>
              <w:t>)</w:t>
            </w:r>
          </w:p>
        </w:tc>
      </w:tr>
      <w:tr>
        <w:trPr/>
        <w:tc>
          <w:tcPr>
            <w:tcW w:w="4243" w:type="dxa"/>
            <w:tcBorders/>
            <w:shd w:fill="CCEEFF" w:val="clear"/>
            <w:vAlign w:val="center"/>
          </w:tcPr>
          <w:p>
            <w:pPr>
              <w:pStyle w:val="TableContents"/>
              <w:bidi w:val="0"/>
              <w:spacing w:before="0" w:after="283"/>
              <w:jc w:val="left"/>
              <w:rPr/>
            </w:pPr>
            <w:r>
              <w:rPr/>
              <w:t>Weighted-average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29,788,040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27,494,483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29,633,755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27,227,013</w:t>
            </w:r>
          </w:p>
        </w:tc>
        <w:tc>
          <w:tcPr>
            <w:tcW w:w="4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TURN THERAPEUTICS INC.</w:t>
      </w:r>
    </w:p>
    <w:p>
      <w:pPr>
        <w:pStyle w:val="TextBody"/>
        <w:bidi w:val="0"/>
        <w:spacing w:before="0" w:after="0"/>
        <w:ind w:left="0" w:right="0" w:hanging="0"/>
        <w:jc w:val="center"/>
        <w:rPr>
          <w:rFonts w:ascii="Times New Roman;Times;Serif" w:hAnsi="Times New Roman;Times;Serif"/>
          <w:b/>
          <w:i w:val="false"/>
          <w:smallCaps/>
          <w:sz w:val="20"/>
        </w:rPr>
      </w:pPr>
      <w:bookmarkStart w:id="6" w:name="a_005"/>
      <w:bookmarkEnd w:id="6"/>
      <w:r>
        <w:rPr>
          <w:rFonts w:ascii="Times New Roman;Times;Serif" w:hAnsi="Times New Roman;Times;Serif"/>
          <w:b/>
          <w:i w:val="false"/>
          <w:smallCaps/>
          <w:sz w:val="20"/>
        </w:rPr>
        <w:t>Condensed Consolidated Statements of Changes in Stockholders’ Equity (Deficit)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0"/>
        <w:gridCol w:w="60"/>
        <w:gridCol w:w="60"/>
        <w:gridCol w:w="1100"/>
        <w:gridCol w:w="60"/>
        <w:gridCol w:w="60"/>
        <w:gridCol w:w="172"/>
        <w:gridCol w:w="688"/>
        <w:gridCol w:w="60"/>
        <w:gridCol w:w="60"/>
        <w:gridCol w:w="145"/>
        <w:gridCol w:w="1145"/>
        <w:gridCol w:w="60"/>
        <w:gridCol w:w="60"/>
        <w:gridCol w:w="153"/>
        <w:gridCol w:w="1157"/>
        <w:gridCol w:w="95"/>
        <w:gridCol w:w="60"/>
        <w:gridCol w:w="145"/>
        <w:gridCol w:w="1225"/>
        <w:gridCol w:w="95"/>
        <w:gridCol w:w="60"/>
        <w:gridCol w:w="157"/>
        <w:gridCol w:w="1194"/>
        <w:gridCol w:w="84"/>
      </w:tblGrid>
      <w:tr>
        <w:trPr/>
        <w:tc>
          <w:tcPr>
            <w:tcW w:w="2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1" w:type="dxa"/>
            <w:gridSpan w:val="2"/>
            <w:tcBorders/>
            <w:vAlign w:val="center"/>
          </w:tcPr>
          <w:p>
            <w:pPr>
              <w:pStyle w:val="TableContents"/>
              <w:bidi w:val="0"/>
              <w:spacing w:before="0" w:after="283"/>
              <w:jc w:val="center"/>
              <w:rPr>
                <w:b/>
              </w:rPr>
            </w:pPr>
            <w:r>
              <w:rPr>
                <w:b/>
              </w:rPr>
              <w:t>Total</w:t>
            </w:r>
          </w:p>
        </w:tc>
        <w:tc>
          <w:tcPr>
            <w:tcW w:w="84" w:type="dxa"/>
            <w:tcBorders/>
            <w:vAlign w:val="center"/>
          </w:tcPr>
          <w:p>
            <w:pPr>
              <w:pStyle w:val="TableContents"/>
              <w:bidi w:val="0"/>
              <w:spacing w:before="0" w:after="283"/>
              <w:jc w:val="left"/>
              <w:rPr/>
            </w:pPr>
            <w:r>
              <w:rPr/>
              <w:t> </w:t>
            </w:r>
          </w:p>
        </w:tc>
      </w:tr>
      <w:tr>
        <w:trPr/>
        <w:tc>
          <w:tcPr>
            <w:tcW w:w="2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b/>
              </w:rPr>
            </w:pPr>
            <w:r>
              <w:rPr>
                <w:b/>
              </w:rPr>
              <w:t>Subscription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1" w:type="dxa"/>
            <w:gridSpan w:val="2"/>
            <w:tcBorders/>
            <w:vAlign w:val="center"/>
          </w:tcPr>
          <w:p>
            <w:pPr>
              <w:pStyle w:val="TableContents"/>
              <w:bidi w:val="0"/>
              <w:spacing w:before="0" w:after="283"/>
              <w:jc w:val="center"/>
              <w:rPr>
                <w:b/>
              </w:rPr>
            </w:pPr>
            <w:r>
              <w:rPr>
                <w:b/>
              </w:rPr>
              <w:t>Stockholders’</w:t>
            </w:r>
          </w:p>
        </w:tc>
        <w:tc>
          <w:tcPr>
            <w:tcW w:w="84" w:type="dxa"/>
            <w:tcBorders/>
            <w:vAlign w:val="center"/>
          </w:tcPr>
          <w:p>
            <w:pPr>
              <w:pStyle w:val="TableContents"/>
              <w:bidi w:val="0"/>
              <w:spacing w:before="0" w:after="283"/>
              <w:jc w:val="left"/>
              <w:rPr/>
            </w:pPr>
            <w:r>
              <w:rPr/>
              <w:t> </w:t>
            </w:r>
          </w:p>
        </w:tc>
      </w:tr>
      <w:tr>
        <w:trPr/>
        <w:tc>
          <w:tcPr>
            <w:tcW w:w="2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Paid-in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Receivable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84" w:type="dxa"/>
            <w:tcBorders/>
            <w:vAlign w:val="center"/>
          </w:tcPr>
          <w:p>
            <w:pPr>
              <w:pStyle w:val="TableContents"/>
              <w:bidi w:val="0"/>
              <w:spacing w:before="0" w:after="283"/>
              <w:jc w:val="left"/>
              <w:rPr/>
            </w:pPr>
            <w:r>
              <w:rPr/>
              <w:t> </w:t>
            </w:r>
          </w:p>
        </w:tc>
      </w:tr>
      <w:tr>
        <w:trPr/>
        <w:tc>
          <w:tcPr>
            <w:tcW w:w="2050" w:type="dxa"/>
            <w:tcBorders/>
            <w:shd w:fill="CCEEFF" w:val="clear"/>
            <w:vAlign w:val="center"/>
          </w:tcPr>
          <w:p>
            <w:pPr>
              <w:pStyle w:val="TableContents"/>
              <w:bidi w:val="0"/>
              <w:spacing w:before="0" w:after="283"/>
              <w:jc w:val="left"/>
              <w:rPr>
                <w:b/>
              </w:rPr>
            </w:pPr>
            <w:r>
              <w:rPr>
                <w:b/>
              </w:rPr>
              <w:t>As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29,445,183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2,943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145" w:type="dxa"/>
            <w:tcBorders/>
            <w:shd w:fill="CCEEFF" w:val="clear"/>
            <w:vAlign w:val="center"/>
          </w:tcPr>
          <w:p>
            <w:pPr>
              <w:pStyle w:val="TableContents"/>
              <w:bidi w:val="0"/>
              <w:spacing w:before="0" w:after="283"/>
              <w:jc w:val="right"/>
              <w:rPr>
                <w:b/>
              </w:rPr>
            </w:pPr>
            <w:r>
              <w:rPr>
                <w:b/>
              </w:rPr>
              <w:t>28,143,873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b/>
              </w:rPr>
            </w:pPr>
            <w:r>
              <w:rPr>
                <w:b/>
              </w:rPr>
              <w:t>$</w:t>
            </w:r>
          </w:p>
        </w:tc>
        <w:tc>
          <w:tcPr>
            <w:tcW w:w="1157" w:type="dxa"/>
            <w:tcBorders/>
            <w:shd w:fill="CCEEFF" w:val="clear"/>
            <w:vAlign w:val="center"/>
          </w:tcPr>
          <w:p>
            <w:pPr>
              <w:pStyle w:val="TableContents"/>
              <w:bidi w:val="0"/>
              <w:spacing w:before="0" w:after="283"/>
              <w:jc w:val="right"/>
              <w:rPr>
                <w:b/>
              </w:rPr>
            </w:pPr>
            <w:r>
              <w:rPr>
                <w:b/>
              </w:rPr>
              <w:t>(1,070,000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(22,390,093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b/>
              </w:rPr>
            </w:pPr>
            <w:r>
              <w:rPr>
                <w:b/>
              </w:rPr>
              <w:t>$</w:t>
            </w:r>
          </w:p>
        </w:tc>
        <w:tc>
          <w:tcPr>
            <w:tcW w:w="1194" w:type="dxa"/>
            <w:tcBorders/>
            <w:shd w:fill="CCEEFF" w:val="clear"/>
            <w:vAlign w:val="center"/>
          </w:tcPr>
          <w:p>
            <w:pPr>
              <w:pStyle w:val="TableContents"/>
              <w:bidi w:val="0"/>
              <w:spacing w:before="0" w:after="283"/>
              <w:jc w:val="right"/>
              <w:rPr>
                <w:b/>
              </w:rPr>
            </w:pPr>
            <w:r>
              <w:rPr>
                <w:b/>
              </w:rPr>
              <w:t>4,686,723</w:t>
            </w:r>
          </w:p>
        </w:tc>
        <w:tc>
          <w:tcPr>
            <w:tcW w:w="84" w:type="dxa"/>
            <w:tcBorders/>
            <w:shd w:fill="CCEEFF" w:val="clear"/>
            <w:vAlign w:val="center"/>
          </w:tcPr>
          <w:p>
            <w:pPr>
              <w:pStyle w:val="TableContents"/>
              <w:bidi w:val="0"/>
              <w:spacing w:before="0" w:after="283"/>
              <w:ind w:left="0" w:right="0" w:hanging="144"/>
              <w:jc w:val="left"/>
              <w:rPr/>
            </w:pPr>
            <w:r>
              <w:rPr/>
              <w:t> </w:t>
            </w:r>
          </w:p>
        </w:tc>
      </w:tr>
      <w:tr>
        <w:trPr/>
        <w:tc>
          <w:tcPr>
            <w:tcW w:w="2050" w:type="dxa"/>
            <w:tcBorders/>
            <w:shd w:fill="FFFFFF" w:val="clear"/>
            <w:vAlign w:val="center"/>
          </w:tcPr>
          <w:p>
            <w:pPr>
              <w:pStyle w:val="TableContents"/>
              <w:bidi w:val="0"/>
              <w:spacing w:before="0" w:after="283"/>
              <w:jc w:val="left"/>
              <w:rPr/>
            </w:pPr>
            <w:r>
              <w:rPr/>
              <w:t>Issuance of common stock under Avenue Capital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342,857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1,050,933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1,050,967</w:t>
            </w:r>
          </w:p>
        </w:tc>
        <w:tc>
          <w:tcPr>
            <w:tcW w:w="84" w:type="dxa"/>
            <w:tcBorders/>
            <w:shd w:fill="FFFFFF" w:val="clear"/>
            <w:vAlign w:val="center"/>
          </w:tcPr>
          <w:p>
            <w:pPr>
              <w:pStyle w:val="TableContents"/>
              <w:bidi w:val="0"/>
              <w:spacing w:before="0" w:after="283"/>
              <w:ind w:left="0" w:right="0" w:hanging="144"/>
              <w:jc w:val="left"/>
              <w:rPr/>
            </w:pPr>
            <w:r>
              <w:rPr/>
              <w:t> </w:t>
            </w:r>
          </w:p>
        </w:tc>
      </w:tr>
      <w:tr>
        <w:trPr/>
        <w:tc>
          <w:tcPr>
            <w:tcW w:w="2050" w:type="dxa"/>
            <w:tcBorders/>
            <w:shd w:fill="CCEEFF" w:val="clear"/>
            <w:vAlign w:val="center"/>
          </w:tcPr>
          <w:p>
            <w:pPr>
              <w:pStyle w:val="TableContents"/>
              <w:bidi w:val="0"/>
              <w:spacing w:before="0" w:after="283"/>
              <w:jc w:val="left"/>
              <w:rPr/>
            </w:pPr>
            <w:r>
              <w:rPr/>
              <w:t>Cash receipt from stock subscription receivable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1,070,000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1,070,000</w:t>
            </w:r>
          </w:p>
        </w:tc>
        <w:tc>
          <w:tcPr>
            <w:tcW w:w="84" w:type="dxa"/>
            <w:tcBorders/>
            <w:shd w:fill="CCEEFF" w:val="clear"/>
            <w:vAlign w:val="center"/>
          </w:tcPr>
          <w:p>
            <w:pPr>
              <w:pStyle w:val="TableContents"/>
              <w:bidi w:val="0"/>
              <w:spacing w:before="0" w:after="283"/>
              <w:ind w:left="0" w:right="0" w:hanging="144"/>
              <w:jc w:val="left"/>
              <w:rPr/>
            </w:pPr>
            <w:r>
              <w:rPr/>
              <w:t> </w:t>
            </w:r>
          </w:p>
        </w:tc>
      </w:tr>
      <w:tr>
        <w:trPr/>
        <w:tc>
          <w:tcPr>
            <w:tcW w:w="2050"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700,063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700,063</w:t>
            </w:r>
          </w:p>
        </w:tc>
        <w:tc>
          <w:tcPr>
            <w:tcW w:w="84" w:type="dxa"/>
            <w:tcBorders/>
            <w:shd w:fill="FFFFFF" w:val="clear"/>
            <w:vAlign w:val="center"/>
          </w:tcPr>
          <w:p>
            <w:pPr>
              <w:pStyle w:val="TableContents"/>
              <w:bidi w:val="0"/>
              <w:spacing w:before="0" w:after="283"/>
              <w:ind w:left="0" w:right="0" w:hanging="144"/>
              <w:jc w:val="left"/>
              <w:rPr/>
            </w:pPr>
            <w:r>
              <w:rPr/>
              <w:t> </w:t>
            </w:r>
          </w:p>
        </w:tc>
      </w:tr>
      <w:tr>
        <w:trPr/>
        <w:tc>
          <w:tcPr>
            <w:tcW w:w="205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(6,820,865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(6,820,865</w:t>
            </w:r>
          </w:p>
        </w:tc>
        <w:tc>
          <w:tcPr>
            <w:tcW w:w="84" w:type="dxa"/>
            <w:tcBorders/>
            <w:shd w:fill="CCEEFF" w:val="clear"/>
            <w:vAlign w:val="center"/>
          </w:tcPr>
          <w:p>
            <w:pPr>
              <w:pStyle w:val="TableContents"/>
              <w:bidi w:val="0"/>
              <w:spacing w:before="0" w:after="283"/>
              <w:ind w:left="0" w:right="0" w:hanging="144"/>
              <w:jc w:val="left"/>
              <w:rPr/>
            </w:pPr>
            <w:r>
              <w:rPr/>
              <w:t>)</w:t>
            </w:r>
          </w:p>
        </w:tc>
      </w:tr>
      <w:tr>
        <w:trPr/>
        <w:tc>
          <w:tcPr>
            <w:tcW w:w="2050" w:type="dxa"/>
            <w:tcBorders/>
            <w:shd w:fill="FFFFFF" w:val="clear"/>
            <w:vAlign w:val="center"/>
          </w:tcPr>
          <w:p>
            <w:pPr>
              <w:pStyle w:val="TableContents"/>
              <w:bidi w:val="0"/>
              <w:spacing w:before="0" w:after="283"/>
              <w:jc w:val="left"/>
              <w:rPr>
                <w:b/>
              </w:rPr>
            </w:pPr>
            <w:r>
              <w:rPr>
                <w:b/>
              </w:rPr>
              <w:t>As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29,788,040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2,977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4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29,894,869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5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(29,210,958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9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686,888</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4"/>
        <w:gridCol w:w="60"/>
        <w:gridCol w:w="60"/>
        <w:gridCol w:w="1100"/>
        <w:gridCol w:w="60"/>
        <w:gridCol w:w="60"/>
        <w:gridCol w:w="174"/>
        <w:gridCol w:w="696"/>
        <w:gridCol w:w="60"/>
        <w:gridCol w:w="60"/>
        <w:gridCol w:w="143"/>
        <w:gridCol w:w="1126"/>
        <w:gridCol w:w="60"/>
        <w:gridCol w:w="60"/>
        <w:gridCol w:w="180"/>
        <w:gridCol w:w="1130"/>
        <w:gridCol w:w="95"/>
        <w:gridCol w:w="60"/>
        <w:gridCol w:w="145"/>
        <w:gridCol w:w="1225"/>
        <w:gridCol w:w="95"/>
        <w:gridCol w:w="60"/>
        <w:gridCol w:w="158"/>
        <w:gridCol w:w="1203"/>
        <w:gridCol w:w="81"/>
      </w:tblGrid>
      <w:tr>
        <w:trPr/>
        <w:tc>
          <w:tcPr>
            <w:tcW w:w="20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vAlign w:val="center"/>
          </w:tcPr>
          <w:p>
            <w:pPr>
              <w:pStyle w:val="TableContents"/>
              <w:bidi w:val="0"/>
              <w:spacing w:before="0" w:after="283"/>
              <w:jc w:val="center"/>
              <w:rPr>
                <w:b/>
              </w:rPr>
            </w:pPr>
            <w:r>
              <w:rPr>
                <w:b/>
              </w:rPr>
              <w:t>Total</w:t>
            </w:r>
          </w:p>
        </w:tc>
        <w:tc>
          <w:tcPr>
            <w:tcW w:w="81" w:type="dxa"/>
            <w:tcBorders/>
            <w:vAlign w:val="center"/>
          </w:tcPr>
          <w:p>
            <w:pPr>
              <w:pStyle w:val="TableContents"/>
              <w:bidi w:val="0"/>
              <w:spacing w:before="0" w:after="283"/>
              <w:jc w:val="left"/>
              <w:rPr/>
            </w:pPr>
            <w:r>
              <w:rPr/>
              <w:t> </w:t>
            </w:r>
          </w:p>
        </w:tc>
      </w:tr>
      <w:tr>
        <w:trPr/>
        <w:tc>
          <w:tcPr>
            <w:tcW w:w="20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9"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b/>
              </w:rPr>
            </w:pPr>
            <w:r>
              <w:rPr>
                <w:b/>
              </w:rPr>
              <w:t>Subscription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vAlign w:val="center"/>
          </w:tcPr>
          <w:p>
            <w:pPr>
              <w:pStyle w:val="TableContents"/>
              <w:bidi w:val="0"/>
              <w:spacing w:before="0" w:after="283"/>
              <w:jc w:val="center"/>
              <w:rPr>
                <w:b/>
              </w:rPr>
            </w:pPr>
            <w:r>
              <w:rPr>
                <w:b/>
              </w:rPr>
              <w:t>Stockholders’</w:t>
            </w:r>
          </w:p>
        </w:tc>
        <w:tc>
          <w:tcPr>
            <w:tcW w:w="81" w:type="dxa"/>
            <w:tcBorders/>
            <w:vAlign w:val="center"/>
          </w:tcPr>
          <w:p>
            <w:pPr>
              <w:pStyle w:val="TableContents"/>
              <w:bidi w:val="0"/>
              <w:spacing w:before="0" w:after="283"/>
              <w:jc w:val="left"/>
              <w:rPr/>
            </w:pPr>
            <w:r>
              <w:rPr/>
              <w:t> </w:t>
            </w:r>
          </w:p>
        </w:tc>
      </w:tr>
      <w:tr>
        <w:trPr/>
        <w:tc>
          <w:tcPr>
            <w:tcW w:w="20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Paid-in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Receivable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 (Deficit)</w:t>
            </w:r>
          </w:p>
        </w:tc>
        <w:tc>
          <w:tcPr>
            <w:tcW w:w="81" w:type="dxa"/>
            <w:tcBorders/>
            <w:vAlign w:val="center"/>
          </w:tcPr>
          <w:p>
            <w:pPr>
              <w:pStyle w:val="TableContents"/>
              <w:bidi w:val="0"/>
              <w:spacing w:before="0" w:after="283"/>
              <w:ind w:left="0" w:right="0" w:hanging="144"/>
              <w:jc w:val="left"/>
              <w:rPr/>
            </w:pPr>
            <w:r>
              <w:rPr/>
              <w:t> </w:t>
            </w:r>
          </w:p>
        </w:tc>
      </w:tr>
      <w:tr>
        <w:trPr/>
        <w:tc>
          <w:tcPr>
            <w:tcW w:w="2054" w:type="dxa"/>
            <w:tcBorders/>
            <w:shd w:fill="CCEEFF" w:val="clear"/>
            <w:vAlign w:val="center"/>
          </w:tcPr>
          <w:p>
            <w:pPr>
              <w:pStyle w:val="TableContents"/>
              <w:bidi w:val="0"/>
              <w:spacing w:before="0" w:after="283"/>
              <w:jc w:val="left"/>
              <w:rPr>
                <w:b/>
              </w:rPr>
            </w:pPr>
            <w:r>
              <w:rPr>
                <w:b/>
              </w:rPr>
              <w:t>As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26,845,690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b/>
              </w:rPr>
            </w:pPr>
            <w:r>
              <w:rPr>
                <w:b/>
              </w:rPr>
              <w:t>$</w:t>
            </w:r>
          </w:p>
        </w:tc>
        <w:tc>
          <w:tcPr>
            <w:tcW w:w="696" w:type="dxa"/>
            <w:tcBorders/>
            <w:shd w:fill="CCEEFF" w:val="clear"/>
            <w:vAlign w:val="center"/>
          </w:tcPr>
          <w:p>
            <w:pPr>
              <w:pStyle w:val="TableContents"/>
              <w:bidi w:val="0"/>
              <w:spacing w:before="0" w:after="283"/>
              <w:jc w:val="right"/>
              <w:rPr>
                <w:b/>
              </w:rPr>
            </w:pPr>
            <w:r>
              <w:rPr>
                <w:b/>
              </w:rPr>
              <w:t>2,684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b/>
              </w:rPr>
            </w:pPr>
            <w:r>
              <w:rPr>
                <w:b/>
              </w:rPr>
              <w:t>$</w:t>
            </w:r>
          </w:p>
        </w:tc>
        <w:tc>
          <w:tcPr>
            <w:tcW w:w="1126" w:type="dxa"/>
            <w:tcBorders/>
            <w:shd w:fill="CCEEFF" w:val="clear"/>
            <w:vAlign w:val="center"/>
          </w:tcPr>
          <w:p>
            <w:pPr>
              <w:pStyle w:val="TableContents"/>
              <w:bidi w:val="0"/>
              <w:spacing w:before="0" w:after="283"/>
              <w:jc w:val="right"/>
              <w:rPr>
                <w:b/>
              </w:rPr>
            </w:pPr>
            <w:r>
              <w:rPr>
                <w:b/>
              </w:rPr>
              <w:t>19,015,897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(19,196,013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b/>
              </w:rPr>
            </w:pPr>
            <w:r>
              <w:rPr>
                <w:b/>
              </w:rPr>
              <w:t>$</w:t>
            </w:r>
          </w:p>
        </w:tc>
        <w:tc>
          <w:tcPr>
            <w:tcW w:w="1203" w:type="dxa"/>
            <w:tcBorders/>
            <w:shd w:fill="CCEEFF" w:val="clear"/>
            <w:vAlign w:val="center"/>
          </w:tcPr>
          <w:p>
            <w:pPr>
              <w:pStyle w:val="TableContents"/>
              <w:bidi w:val="0"/>
              <w:spacing w:before="0" w:after="283"/>
              <w:jc w:val="right"/>
              <w:rPr>
                <w:b/>
              </w:rPr>
            </w:pPr>
            <w:r>
              <w:rPr>
                <w:b/>
              </w:rPr>
              <w:t>(177,432</w:t>
            </w:r>
          </w:p>
        </w:tc>
        <w:tc>
          <w:tcPr>
            <w:tcW w:w="81" w:type="dxa"/>
            <w:tcBorders/>
            <w:shd w:fill="CCEEFF" w:val="clear"/>
            <w:vAlign w:val="center"/>
          </w:tcPr>
          <w:p>
            <w:pPr>
              <w:pStyle w:val="TableContents"/>
              <w:bidi w:val="0"/>
              <w:spacing w:before="0" w:after="283"/>
              <w:ind w:left="0" w:right="0" w:hanging="144"/>
              <w:jc w:val="left"/>
              <w:rPr>
                <w:b/>
              </w:rPr>
            </w:pPr>
            <w:r>
              <w:rPr>
                <w:b/>
              </w:rPr>
              <w:t>)</w:t>
            </w:r>
          </w:p>
        </w:tc>
      </w:tr>
      <w:tr>
        <w:trPr/>
        <w:tc>
          <w:tcPr>
            <w:tcW w:w="2054" w:type="dxa"/>
            <w:tcBorders/>
            <w:shd w:fill="FFFFFF" w:val="clear"/>
            <w:vAlign w:val="center"/>
          </w:tcPr>
          <w:p>
            <w:pPr>
              <w:pStyle w:val="TableContents"/>
              <w:bidi w:val="0"/>
              <w:spacing w:before="0" w:after="283"/>
              <w:jc w:val="left"/>
              <w:rPr/>
            </w:pPr>
            <w:r>
              <w:rPr/>
              <w:t>Issuance of common stock under Regulation Crowdfunding,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215,972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777,781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777,803</w:t>
            </w:r>
          </w:p>
        </w:tc>
        <w:tc>
          <w:tcPr>
            <w:tcW w:w="81" w:type="dxa"/>
            <w:tcBorders/>
            <w:shd w:fill="FFFFFF" w:val="clear"/>
            <w:vAlign w:val="center"/>
          </w:tcPr>
          <w:p>
            <w:pPr>
              <w:pStyle w:val="TableContents"/>
              <w:bidi w:val="0"/>
              <w:spacing w:before="0" w:after="283"/>
              <w:ind w:left="0" w:right="0" w:hanging="144"/>
              <w:jc w:val="left"/>
              <w:rPr/>
            </w:pPr>
            <w:r>
              <w:rPr/>
              <w:t> </w:t>
            </w:r>
          </w:p>
        </w:tc>
      </w:tr>
      <w:tr>
        <w:trPr/>
        <w:tc>
          <w:tcPr>
            <w:tcW w:w="2054" w:type="dxa"/>
            <w:tcBorders/>
            <w:shd w:fill="CCEEFF" w:val="clear"/>
            <w:vAlign w:val="center"/>
          </w:tcPr>
          <w:p>
            <w:pPr>
              <w:pStyle w:val="TableContents"/>
              <w:bidi w:val="0"/>
              <w:spacing w:before="0" w:after="283"/>
              <w:jc w:val="left"/>
              <w:rPr/>
            </w:pPr>
            <w:r>
              <w:rPr/>
              <w:t>Issuance of common stock under Regulation A+,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83,610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280,484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(247,234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33,258</w:t>
            </w:r>
          </w:p>
        </w:tc>
        <w:tc>
          <w:tcPr>
            <w:tcW w:w="81" w:type="dxa"/>
            <w:tcBorders/>
            <w:shd w:fill="CCEEFF" w:val="clear"/>
            <w:vAlign w:val="center"/>
          </w:tcPr>
          <w:p>
            <w:pPr>
              <w:pStyle w:val="TableContents"/>
              <w:bidi w:val="0"/>
              <w:spacing w:before="0" w:after="283"/>
              <w:ind w:left="0" w:right="0" w:hanging="144"/>
              <w:jc w:val="left"/>
              <w:rPr/>
            </w:pPr>
            <w:r>
              <w:rPr/>
              <w:t> </w:t>
            </w:r>
          </w:p>
        </w:tc>
      </w:tr>
      <w:tr>
        <w:trPr/>
        <w:tc>
          <w:tcPr>
            <w:tcW w:w="2054" w:type="dxa"/>
            <w:tcBorders/>
            <w:shd w:fill="FFFFFF" w:val="clear"/>
            <w:vAlign w:val="center"/>
          </w:tcPr>
          <w:p>
            <w:pPr>
              <w:pStyle w:val="TableContents"/>
              <w:bidi w:val="0"/>
              <w:spacing w:before="0" w:after="283"/>
              <w:jc w:val="left"/>
              <w:rPr/>
            </w:pPr>
            <w:r>
              <w:rPr/>
              <w:t>Issuance of common stock under Regulation D,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775,468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t>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2,735,824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(400,082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2,335,820</w:t>
            </w:r>
          </w:p>
        </w:tc>
        <w:tc>
          <w:tcPr>
            <w:tcW w:w="81" w:type="dxa"/>
            <w:tcBorders/>
            <w:shd w:fill="FFFFFF" w:val="clear"/>
            <w:vAlign w:val="center"/>
          </w:tcPr>
          <w:p>
            <w:pPr>
              <w:pStyle w:val="TableContents"/>
              <w:bidi w:val="0"/>
              <w:spacing w:before="0" w:after="283"/>
              <w:ind w:left="0" w:right="0" w:hanging="144"/>
              <w:jc w:val="left"/>
              <w:rPr/>
            </w:pPr>
            <w:r>
              <w:rPr/>
              <w:t> </w:t>
            </w:r>
          </w:p>
        </w:tc>
      </w:tr>
      <w:tr>
        <w:trPr/>
        <w:tc>
          <w:tcPr>
            <w:tcW w:w="2054" w:type="dxa"/>
            <w:tcBorders/>
            <w:shd w:fill="CCEEFF" w:val="clear"/>
            <w:vAlign w:val="center"/>
          </w:tcPr>
          <w:p>
            <w:pPr>
              <w:pStyle w:val="TableContents"/>
              <w:bidi w:val="0"/>
              <w:spacing w:before="0" w:after="283"/>
              <w:jc w:val="left"/>
              <w:rPr/>
            </w:pPr>
            <w:r>
              <w:rPr/>
              <w:t>Issuance of common stock in exchange for advisory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249,995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250,000</w:t>
            </w:r>
          </w:p>
        </w:tc>
        <w:tc>
          <w:tcPr>
            <w:tcW w:w="81" w:type="dxa"/>
            <w:tcBorders/>
            <w:shd w:fill="CCEEFF" w:val="clear"/>
            <w:vAlign w:val="center"/>
          </w:tcPr>
          <w:p>
            <w:pPr>
              <w:pStyle w:val="TableContents"/>
              <w:bidi w:val="0"/>
              <w:spacing w:before="0" w:after="283"/>
              <w:ind w:left="0" w:right="0" w:hanging="144"/>
              <w:jc w:val="left"/>
              <w:rPr/>
            </w:pPr>
            <w:r>
              <w:rPr/>
              <w:t> </w:t>
            </w:r>
          </w:p>
        </w:tc>
      </w:tr>
      <w:tr>
        <w:trPr/>
        <w:tc>
          <w:tcPr>
            <w:tcW w:w="2054" w:type="dxa"/>
            <w:tcBorders/>
            <w:shd w:fill="FFFFFF" w:val="clear"/>
            <w:vAlign w:val="center"/>
          </w:tcPr>
          <w:p>
            <w:pPr>
              <w:pStyle w:val="TableContents"/>
              <w:bidi w:val="0"/>
              <w:spacing w:before="0" w:after="283"/>
              <w:jc w:val="left"/>
              <w:rPr/>
            </w:pPr>
            <w:r>
              <w:rPr/>
              <w:t>Issuance of common stock upon exercise of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47,620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233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238</w:t>
            </w:r>
          </w:p>
        </w:tc>
        <w:tc>
          <w:tcPr>
            <w:tcW w:w="81" w:type="dxa"/>
            <w:tcBorders/>
            <w:shd w:fill="FFFFFF" w:val="clear"/>
            <w:vAlign w:val="center"/>
          </w:tcPr>
          <w:p>
            <w:pPr>
              <w:pStyle w:val="TableContents"/>
              <w:bidi w:val="0"/>
              <w:spacing w:before="0" w:after="283"/>
              <w:ind w:left="0" w:right="0" w:hanging="144"/>
              <w:jc w:val="left"/>
              <w:rPr/>
            </w:pPr>
            <w:r>
              <w:rPr/>
              <w:t> </w:t>
            </w:r>
          </w:p>
        </w:tc>
      </w:tr>
      <w:tr>
        <w:trPr/>
        <w:tc>
          <w:tcPr>
            <w:tcW w:w="2054"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123,781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123,781</w:t>
            </w:r>
          </w:p>
        </w:tc>
        <w:tc>
          <w:tcPr>
            <w:tcW w:w="81" w:type="dxa"/>
            <w:tcBorders/>
            <w:shd w:fill="CCEEFF" w:val="clear"/>
            <w:vAlign w:val="center"/>
          </w:tcPr>
          <w:p>
            <w:pPr>
              <w:pStyle w:val="TableContents"/>
              <w:bidi w:val="0"/>
              <w:spacing w:before="0" w:after="283"/>
              <w:ind w:left="0" w:right="0" w:hanging="144"/>
              <w:jc w:val="left"/>
              <w:rPr/>
            </w:pPr>
            <w:r>
              <w:rPr/>
              <w:t> </w:t>
            </w:r>
          </w:p>
        </w:tc>
      </w:tr>
      <w:tr>
        <w:trPr/>
        <w:tc>
          <w:tcPr>
            <w:tcW w:w="2054"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(1,568,972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FFFFFF" w:val="clear"/>
            <w:tcMar>
              <w:bottom w:w="28" w:type="dxa"/>
            </w:tcMar>
            <w:vAlign w:val="center"/>
          </w:tcPr>
          <w:p>
            <w:pPr>
              <w:pStyle w:val="TableContents"/>
              <w:bidi w:val="0"/>
              <w:spacing w:before="0" w:after="283"/>
              <w:jc w:val="right"/>
              <w:rPr/>
            </w:pPr>
            <w:r>
              <w:rPr/>
              <w:t>(1,568,972</w:t>
            </w:r>
          </w:p>
        </w:tc>
        <w:tc>
          <w:tcPr>
            <w:tcW w:w="81" w:type="dxa"/>
            <w:tcBorders/>
            <w:shd w:fill="FFFFFF" w:val="clear"/>
            <w:vAlign w:val="center"/>
          </w:tcPr>
          <w:p>
            <w:pPr>
              <w:pStyle w:val="TableContents"/>
              <w:bidi w:val="0"/>
              <w:spacing w:before="0" w:after="283"/>
              <w:ind w:left="0" w:right="0" w:hanging="144"/>
              <w:jc w:val="left"/>
              <w:rPr/>
            </w:pPr>
            <w:r>
              <w:rPr/>
              <w:t>)</w:t>
            </w:r>
          </w:p>
        </w:tc>
      </w:tr>
      <w:tr>
        <w:trPr/>
        <w:tc>
          <w:tcPr>
            <w:tcW w:w="2054" w:type="dxa"/>
            <w:tcBorders/>
            <w:shd w:fill="CCEEFF" w:val="clear"/>
            <w:vAlign w:val="center"/>
          </w:tcPr>
          <w:p>
            <w:pPr>
              <w:pStyle w:val="TableContents"/>
              <w:bidi w:val="0"/>
              <w:spacing w:before="0" w:after="283"/>
              <w:jc w:val="left"/>
              <w:rPr>
                <w:b/>
              </w:rPr>
            </w:pPr>
            <w:r>
              <w:rPr>
                <w:b/>
              </w:rPr>
              <w:t>As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28,022,826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9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2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23,183,995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(647,316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(20,764,985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0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1,774,496</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140"/>
        <w:gridCol w:w="434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Retroactively adjusted for 2-for-1 forward stock split.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TURN THERAPEUTICS INC.</w:t>
      </w:r>
    </w:p>
    <w:p>
      <w:pPr>
        <w:pStyle w:val="TextBody"/>
        <w:bidi w:val="0"/>
        <w:spacing w:before="0" w:after="0"/>
        <w:ind w:left="0" w:right="0" w:hanging="0"/>
        <w:jc w:val="center"/>
        <w:rPr>
          <w:rFonts w:ascii="Times New Roman;Times;Serif" w:hAnsi="Times New Roman;Times;Serif"/>
          <w:b/>
          <w:i w:val="false"/>
          <w:smallCaps/>
          <w:sz w:val="20"/>
        </w:rPr>
      </w:pPr>
      <w:bookmarkStart w:id="7" w:name="a_006"/>
      <w:bookmarkEnd w:id="7"/>
      <w:r>
        <w:rPr>
          <w:rFonts w:ascii="Times New Roman;Times;Serif" w:hAnsi="Times New Roman;Times;Serif"/>
          <w:b/>
          <w:i w:val="false"/>
          <w:smallCaps/>
          <w:sz w:val="20"/>
        </w:rPr>
        <w:t>Condensed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in US Dollars)</w:t>
      </w:r>
    </w:p>
    <w:p>
      <w:pPr>
        <w:pStyle w:val="TextBody"/>
        <w:bidi w:val="0"/>
        <w:spacing w:before="0" w:after="0"/>
        <w:ind w:left="0" w:right="0" w:hanging="0"/>
        <w:jc w:val="center"/>
        <w:rPr>
          <w:smallCaps/>
        </w:rPr>
      </w:pPr>
      <w:r>
        <w:rPr>
          <w:smallCaps/>
        </w:rPr>
        <w:t> </w:t>
      </w:r>
    </w:p>
    <w:tbl>
      <w:tblPr>
        <w:tblW w:w="9962" w:type="dxa"/>
        <w:jc w:val="left"/>
        <w:tblInd w:w="0" w:type="dxa"/>
        <w:tblLayout w:type="fixed"/>
        <w:tblCellMar>
          <w:top w:w="0" w:type="dxa"/>
          <w:left w:w="0" w:type="dxa"/>
          <w:bottom w:w="0" w:type="dxa"/>
          <w:right w:w="0" w:type="dxa"/>
        </w:tblCellMar>
      </w:tblPr>
      <w:tblGrid>
        <w:gridCol w:w="6800"/>
        <w:gridCol w:w="60"/>
        <w:gridCol w:w="140"/>
        <w:gridCol w:w="1100"/>
        <w:gridCol w:w="95"/>
        <w:gridCol w:w="60"/>
        <w:gridCol w:w="140"/>
        <w:gridCol w:w="1055"/>
        <w:gridCol w:w="512"/>
      </w:tblGrid>
      <w:tr>
        <w:trPr/>
        <w:tc>
          <w:tcPr>
            <w:tcW w:w="6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512" w:type="dxa"/>
            <w:tcBorders/>
            <w:vAlign w:val="center"/>
          </w:tcPr>
          <w:p>
            <w:pPr>
              <w:pStyle w:val="TableContents"/>
              <w:bidi w:val="0"/>
              <w:spacing w:before="0" w:after="283"/>
              <w:jc w:val="left"/>
              <w:rPr/>
            </w:pPr>
            <w:r>
              <w:rPr/>
              <w:t> </w:t>
            </w:r>
          </w:p>
        </w:tc>
      </w:tr>
      <w:tr>
        <w:trPr/>
        <w:tc>
          <w:tcPr>
            <w:tcW w:w="6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512" w:type="dxa"/>
            <w:tcBorders/>
            <w:vAlign w:val="center"/>
          </w:tcPr>
          <w:p>
            <w:pPr>
              <w:pStyle w:val="TableContents"/>
              <w:bidi w:val="0"/>
              <w:spacing w:before="0" w:after="283"/>
              <w:jc w:val="left"/>
              <w:rPr/>
            </w:pPr>
            <w:r>
              <w:rPr/>
              <w:t> </w:t>
            </w:r>
          </w:p>
        </w:tc>
      </w:tr>
      <w:tr>
        <w:trPr/>
        <w:tc>
          <w:tcPr>
            <w:tcW w:w="680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ind w:left="0" w:right="0" w:firstLine="200"/>
              <w:jc w:val="left"/>
              <w:rPr/>
            </w:pPr>
            <w:r>
              <w:rPr/>
              <w:t> </w:t>
            </w:r>
          </w:p>
        </w:tc>
      </w:tr>
      <w:tr>
        <w:trPr/>
        <w:tc>
          <w:tcPr>
            <w:tcW w:w="68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(6,820,865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(1,568,972</w:t>
            </w:r>
          </w:p>
        </w:tc>
        <w:tc>
          <w:tcPr>
            <w:tcW w:w="512" w:type="dxa"/>
            <w:tcBorders/>
            <w:shd w:fill="CCEEFF" w:val="clear"/>
            <w:vAlign w:val="center"/>
          </w:tcPr>
          <w:p>
            <w:pPr>
              <w:pStyle w:val="TableContents"/>
              <w:bidi w:val="0"/>
              <w:spacing w:before="0" w:after="283"/>
              <w:jc w:val="left"/>
              <w:rPr/>
            </w:pPr>
            <w:r>
              <w:rPr/>
              <w:t>)</w:t>
            </w:r>
          </w:p>
        </w:tc>
      </w:tr>
      <w:tr>
        <w:trPr/>
        <w:tc>
          <w:tcPr>
            <w:tcW w:w="6800" w:type="dxa"/>
            <w:tcBorders/>
            <w:shd w:fill="FFFFFF" w:val="clear"/>
            <w:vAlign w:val="center"/>
          </w:tcPr>
          <w:p>
            <w:pPr>
              <w:pStyle w:val="TableContents"/>
              <w:bidi w:val="0"/>
              <w:spacing w:before="0" w:after="283"/>
              <w:jc w:val="left"/>
              <w:rPr>
                <w:i/>
                <w:u w:val="single"/>
              </w:rPr>
            </w:pPr>
            <w:r>
              <w:rPr>
                <w:i/>
                <w:u w:val="single"/>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512" w:type="dxa"/>
            <w:tcBorders/>
            <w:shd w:fill="FFFFFF" w:val="clear"/>
            <w:vAlign w:val="center"/>
          </w:tcPr>
          <w:p>
            <w:pPr>
              <w:pStyle w:val="TableContents"/>
              <w:bidi w:val="0"/>
              <w:spacing w:before="0" w:after="283"/>
              <w:ind w:left="0" w:right="0" w:firstLine="200"/>
              <w:jc w:val="left"/>
              <w:rPr/>
            </w:pPr>
            <w:r>
              <w:rPr/>
              <w:t> </w:t>
            </w:r>
          </w:p>
        </w:tc>
      </w:tr>
      <w:tr>
        <w:trPr/>
        <w:tc>
          <w:tcPr>
            <w:tcW w:w="6800" w:type="dxa"/>
            <w:tcBorders/>
            <w:shd w:fill="CCEEFF" w:val="clear"/>
            <w:vAlign w:val="center"/>
          </w:tcPr>
          <w:p>
            <w:pPr>
              <w:pStyle w:val="TableContents"/>
              <w:bidi w:val="0"/>
              <w:spacing w:before="0" w:after="283"/>
              <w:jc w:val="left"/>
              <w:rPr/>
            </w:pPr>
            <w:r>
              <w:rPr/>
              <w:t>Amortization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24,912</w:t>
            </w:r>
          </w:p>
        </w:tc>
        <w:tc>
          <w:tcPr>
            <w:tcW w:w="512" w:type="dxa"/>
            <w:tcBorders/>
            <w:shd w:fill="CCEEFF" w:val="clear"/>
            <w:vAlign w:val="center"/>
          </w:tcPr>
          <w:p>
            <w:pPr>
              <w:pStyle w:val="TableContents"/>
              <w:bidi w:val="0"/>
              <w:spacing w:before="0" w:after="283"/>
              <w:ind w:left="0" w:right="0" w:firstLine="200"/>
              <w:jc w:val="left"/>
              <w:rPr/>
            </w:pPr>
            <w:r>
              <w:rPr/>
              <w:t> </w:t>
            </w:r>
          </w:p>
        </w:tc>
      </w:tr>
      <w:tr>
        <w:trPr/>
        <w:tc>
          <w:tcPr>
            <w:tcW w:w="6800"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700,063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123,781</w:t>
            </w:r>
          </w:p>
        </w:tc>
        <w:tc>
          <w:tcPr>
            <w:tcW w:w="512" w:type="dxa"/>
            <w:tcBorders/>
            <w:shd w:fill="FFFFFF" w:val="clear"/>
            <w:vAlign w:val="center"/>
          </w:tcPr>
          <w:p>
            <w:pPr>
              <w:pStyle w:val="TableContents"/>
              <w:bidi w:val="0"/>
              <w:spacing w:before="0" w:after="283"/>
              <w:ind w:left="0" w:right="0" w:firstLine="200"/>
              <w:jc w:val="left"/>
              <w:rPr/>
            </w:pPr>
            <w:r>
              <w:rPr/>
              <w:t> </w:t>
            </w:r>
          </w:p>
        </w:tc>
      </w:tr>
      <w:tr>
        <w:trPr/>
        <w:tc>
          <w:tcPr>
            <w:tcW w:w="6800" w:type="dxa"/>
            <w:tcBorders/>
            <w:shd w:fill="CCEEFF" w:val="clear"/>
            <w:vAlign w:val="center"/>
          </w:tcPr>
          <w:p>
            <w:pPr>
              <w:pStyle w:val="TableContents"/>
              <w:bidi w:val="0"/>
              <w:spacing w:before="0" w:after="283"/>
              <w:jc w:val="left"/>
              <w:rPr/>
            </w:pPr>
            <w:r>
              <w:rPr/>
              <w:t>Common stock issued in exchange for services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250,000</w:t>
            </w:r>
          </w:p>
        </w:tc>
        <w:tc>
          <w:tcPr>
            <w:tcW w:w="512" w:type="dxa"/>
            <w:tcBorders/>
            <w:shd w:fill="CCEEFF" w:val="clear"/>
            <w:vAlign w:val="center"/>
          </w:tcPr>
          <w:p>
            <w:pPr>
              <w:pStyle w:val="TableContents"/>
              <w:bidi w:val="0"/>
              <w:spacing w:before="0" w:after="283"/>
              <w:ind w:left="0" w:right="0" w:firstLine="200"/>
              <w:jc w:val="left"/>
              <w:rPr/>
            </w:pPr>
            <w:r>
              <w:rPr/>
              <w:t> </w:t>
            </w:r>
          </w:p>
        </w:tc>
      </w:tr>
      <w:tr>
        <w:trPr/>
        <w:tc>
          <w:tcPr>
            <w:tcW w:w="6800" w:type="dxa"/>
            <w:tcBorders/>
            <w:shd w:fill="FFFFFF" w:val="clear"/>
            <w:vAlign w:val="center"/>
          </w:tcPr>
          <w:p>
            <w:pPr>
              <w:pStyle w:val="TableContents"/>
              <w:bidi w:val="0"/>
              <w:spacing w:before="0" w:after="283"/>
              <w:jc w:val="left"/>
              <w:rPr/>
            </w:pPr>
            <w:r>
              <w:rPr/>
              <w:t>Non-cash operating lease effect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873</w:t>
            </w:r>
          </w:p>
        </w:tc>
        <w:tc>
          <w:tcPr>
            <w:tcW w:w="512" w:type="dxa"/>
            <w:tcBorders/>
            <w:shd w:fill="FFFFFF" w:val="clear"/>
            <w:vAlign w:val="center"/>
          </w:tcPr>
          <w:p>
            <w:pPr>
              <w:pStyle w:val="TableContents"/>
              <w:bidi w:val="0"/>
              <w:spacing w:before="0" w:after="283"/>
              <w:ind w:left="0" w:right="0" w:firstLine="200"/>
              <w:jc w:val="left"/>
              <w:rPr/>
            </w:pPr>
            <w:r>
              <w:rPr/>
              <w:t> </w:t>
            </w:r>
          </w:p>
        </w:tc>
      </w:tr>
      <w:tr>
        <w:trPr/>
        <w:tc>
          <w:tcPr>
            <w:tcW w:w="6800" w:type="dxa"/>
            <w:tcBorders/>
            <w:shd w:fill="CCEEFF" w:val="clear"/>
            <w:vAlign w:val="center"/>
          </w:tcPr>
          <w:p>
            <w:pPr>
              <w:pStyle w:val="TableContents"/>
              <w:bidi w:val="0"/>
              <w:spacing w:before="0" w:after="283"/>
              <w:jc w:val="left"/>
              <w:rPr/>
            </w:pPr>
            <w:r>
              <w:rPr/>
              <w:t>Net loss from change in fair value of derivative liability instrument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2,644,007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ind w:left="0" w:right="0" w:firstLine="200"/>
              <w:jc w:val="left"/>
              <w:rPr/>
            </w:pPr>
            <w:r>
              <w:rPr/>
              <w:t> </w:t>
            </w:r>
          </w:p>
        </w:tc>
      </w:tr>
      <w:tr>
        <w:trPr/>
        <w:tc>
          <w:tcPr>
            <w:tcW w:w="6800" w:type="dxa"/>
            <w:tcBorders/>
            <w:shd w:fill="FFFFFF" w:val="clear"/>
            <w:vAlign w:val="center"/>
          </w:tcPr>
          <w:p>
            <w:pPr>
              <w:pStyle w:val="TableContents"/>
              <w:bidi w:val="0"/>
              <w:spacing w:before="0" w:after="283"/>
              <w:jc w:val="left"/>
              <w:rPr/>
            </w:pPr>
            <w:r>
              <w:rPr/>
              <w:t>Amortization of deferred offering cost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1,116,394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512" w:type="dxa"/>
            <w:tcBorders/>
            <w:shd w:fill="FFFFFF" w:val="clear"/>
            <w:vAlign w:val="center"/>
          </w:tcPr>
          <w:p>
            <w:pPr>
              <w:pStyle w:val="TableContents"/>
              <w:bidi w:val="0"/>
              <w:spacing w:before="0" w:after="283"/>
              <w:ind w:left="0" w:right="0" w:firstLine="200"/>
              <w:jc w:val="left"/>
              <w:rPr/>
            </w:pPr>
            <w:r>
              <w:rPr/>
              <w:t> </w:t>
            </w:r>
          </w:p>
        </w:tc>
      </w:tr>
      <w:tr>
        <w:trPr/>
        <w:tc>
          <w:tcPr>
            <w:tcW w:w="6800" w:type="dxa"/>
            <w:tcBorders/>
            <w:shd w:fill="CCEEFF" w:val="clear"/>
            <w:vAlign w:val="center"/>
          </w:tcPr>
          <w:p>
            <w:pPr>
              <w:pStyle w:val="TableContents"/>
              <w:bidi w:val="0"/>
              <w:spacing w:before="0" w:after="283"/>
              <w:jc w:val="left"/>
              <w:rPr/>
            </w:pPr>
            <w:r>
              <w:rPr/>
              <w:t>Amortization of debt discount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117,608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left"/>
              <w:rPr/>
            </w:pPr>
            <w:r>
              <w:rPr/>
              <w:t> </w:t>
            </w:r>
          </w:p>
        </w:tc>
      </w:tr>
      <w:tr>
        <w:trPr/>
        <w:tc>
          <w:tcPr>
            <w:tcW w:w="6800" w:type="dxa"/>
            <w:tcBorders/>
            <w:shd w:fill="FFFFFF" w:val="clear"/>
            <w:vAlign w:val="center"/>
          </w:tcPr>
          <w:p>
            <w:pPr>
              <w:pStyle w:val="TableContents"/>
              <w:bidi w:val="0"/>
              <w:spacing w:before="0" w:after="283"/>
              <w:jc w:val="left"/>
              <w:rPr>
                <w:i/>
                <w:u w:val="single"/>
              </w:rPr>
            </w:pPr>
            <w:r>
              <w:rPr>
                <w:i/>
                <w:u w:val="single"/>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512" w:type="dxa"/>
            <w:tcBorders/>
            <w:shd w:fill="FFFFFF" w:val="clear"/>
            <w:vAlign w:val="center"/>
          </w:tcPr>
          <w:p>
            <w:pPr>
              <w:pStyle w:val="TableContents"/>
              <w:bidi w:val="0"/>
              <w:spacing w:before="0" w:after="283"/>
              <w:ind w:left="0" w:right="0" w:firstLine="400"/>
              <w:jc w:val="left"/>
              <w:rPr/>
            </w:pPr>
            <w:r>
              <w:rPr/>
              <w:t> </w:t>
            </w:r>
          </w:p>
        </w:tc>
      </w:tr>
      <w:tr>
        <w:trPr/>
        <w:tc>
          <w:tcPr>
            <w:tcW w:w="6800" w:type="dxa"/>
            <w:tcBorders/>
            <w:shd w:fill="CCEEFF" w:val="clear"/>
            <w:vAlign w:val="center"/>
          </w:tcPr>
          <w:p>
            <w:pPr>
              <w:pStyle w:val="TableContents"/>
              <w:bidi w:val="0"/>
              <w:spacing w:before="0" w:after="283"/>
              <w:jc w:val="left"/>
              <w:rPr/>
            </w:pPr>
            <w:r>
              <w:rPr/>
              <w:t>Prepaids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(19,383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21,307</w:t>
            </w:r>
          </w:p>
        </w:tc>
        <w:tc>
          <w:tcPr>
            <w:tcW w:w="512" w:type="dxa"/>
            <w:tcBorders/>
            <w:shd w:fill="CCEEFF" w:val="clear"/>
            <w:vAlign w:val="center"/>
          </w:tcPr>
          <w:p>
            <w:pPr>
              <w:pStyle w:val="TableContents"/>
              <w:bidi w:val="0"/>
              <w:spacing w:before="0" w:after="283"/>
              <w:ind w:left="0" w:right="0" w:firstLine="400"/>
              <w:jc w:val="left"/>
              <w:rPr/>
            </w:pPr>
            <w:r>
              <w:rPr/>
              <w:t> </w:t>
            </w:r>
          </w:p>
        </w:tc>
      </w:tr>
      <w:tr>
        <w:trPr/>
        <w:tc>
          <w:tcPr>
            <w:tcW w:w="6800"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(322,977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350,075</w:t>
            </w:r>
          </w:p>
        </w:tc>
        <w:tc>
          <w:tcPr>
            <w:tcW w:w="512" w:type="dxa"/>
            <w:tcBorders/>
            <w:shd w:fill="FFFFFF" w:val="clear"/>
            <w:vAlign w:val="center"/>
          </w:tcPr>
          <w:p>
            <w:pPr>
              <w:pStyle w:val="TableContents"/>
              <w:bidi w:val="0"/>
              <w:spacing w:before="0" w:after="283"/>
              <w:ind w:left="0" w:right="0" w:firstLine="402"/>
              <w:jc w:val="left"/>
              <w:rPr/>
            </w:pPr>
            <w:r>
              <w:rPr/>
              <w:t> </w:t>
            </w:r>
          </w:p>
        </w:tc>
      </w:tr>
      <w:tr>
        <w:trPr/>
        <w:tc>
          <w:tcPr>
            <w:tcW w:w="6800"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(2,556,171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(798,024</w:t>
            </w:r>
          </w:p>
        </w:tc>
        <w:tc>
          <w:tcPr>
            <w:tcW w:w="512" w:type="dxa"/>
            <w:tcBorders/>
            <w:shd w:fill="CCEEFF" w:val="clear"/>
            <w:vAlign w:val="center"/>
          </w:tcPr>
          <w:p>
            <w:pPr>
              <w:pStyle w:val="TableContents"/>
              <w:bidi w:val="0"/>
              <w:spacing w:before="0" w:after="283"/>
              <w:jc w:val="left"/>
              <w:rPr>
                <w:b/>
              </w:rPr>
            </w:pPr>
            <w:r>
              <w:rPr>
                <w:b/>
              </w:rPr>
              <w:t>)</w:t>
            </w:r>
          </w:p>
        </w:tc>
      </w:tr>
      <w:tr>
        <w:trPr/>
        <w:tc>
          <w:tcPr>
            <w:tcW w:w="6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512" w:type="dxa"/>
            <w:tcBorders/>
            <w:shd w:fill="FFFFFF" w:val="clear"/>
            <w:vAlign w:val="center"/>
          </w:tcPr>
          <w:p>
            <w:pPr>
              <w:pStyle w:val="TableContents"/>
              <w:bidi w:val="0"/>
              <w:spacing w:before="0" w:after="283"/>
              <w:jc w:val="left"/>
              <w:rPr/>
            </w:pPr>
            <w:r>
              <w:rPr/>
              <w:t> </w:t>
            </w:r>
          </w:p>
        </w:tc>
      </w:tr>
      <w:tr>
        <w:trPr/>
        <w:tc>
          <w:tcPr>
            <w:tcW w:w="680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512" w:type="dxa"/>
            <w:tcBorders/>
            <w:shd w:fill="CCEEFF" w:val="clear"/>
            <w:vAlign w:val="center"/>
          </w:tcPr>
          <w:p>
            <w:pPr>
              <w:pStyle w:val="TableContents"/>
              <w:bidi w:val="0"/>
              <w:spacing w:before="0" w:after="283"/>
              <w:ind w:left="0" w:right="0" w:firstLine="200"/>
              <w:jc w:val="left"/>
              <w:rPr/>
            </w:pPr>
            <w:r>
              <w:rPr/>
              <w:t> </w:t>
            </w:r>
          </w:p>
        </w:tc>
      </w:tr>
      <w:tr>
        <w:trPr/>
        <w:tc>
          <w:tcPr>
            <w:tcW w:w="6800" w:type="dxa"/>
            <w:tcBorders/>
            <w:shd w:fill="FFFFFF" w:val="clear"/>
            <w:vAlign w:val="center"/>
          </w:tcPr>
          <w:p>
            <w:pPr>
              <w:pStyle w:val="TableContents"/>
              <w:bidi w:val="0"/>
              <w:spacing w:before="0" w:after="283"/>
              <w:jc w:val="left"/>
              <w:rPr/>
            </w:pPr>
            <w:r>
              <w:rPr/>
              <w:t>Purchases of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(18,025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(31,751</w:t>
            </w:r>
          </w:p>
        </w:tc>
        <w:tc>
          <w:tcPr>
            <w:tcW w:w="512" w:type="dxa"/>
            <w:tcBorders/>
            <w:shd w:fill="FFFFFF" w:val="clear"/>
            <w:vAlign w:val="center"/>
          </w:tcPr>
          <w:p>
            <w:pPr>
              <w:pStyle w:val="TableContents"/>
              <w:bidi w:val="0"/>
              <w:spacing w:before="0" w:after="283"/>
              <w:ind w:left="0" w:right="0" w:firstLine="402"/>
              <w:jc w:val="left"/>
              <w:rPr/>
            </w:pPr>
            <w:r>
              <w:rPr/>
              <w:t>)</w:t>
            </w:r>
          </w:p>
        </w:tc>
      </w:tr>
      <w:tr>
        <w:trPr/>
        <w:tc>
          <w:tcPr>
            <w:tcW w:w="6800"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(18,025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(31,751</w:t>
            </w:r>
          </w:p>
        </w:tc>
        <w:tc>
          <w:tcPr>
            <w:tcW w:w="512" w:type="dxa"/>
            <w:tcBorders/>
            <w:shd w:fill="CCEEFF" w:val="clear"/>
            <w:vAlign w:val="center"/>
          </w:tcPr>
          <w:p>
            <w:pPr>
              <w:pStyle w:val="TableContents"/>
              <w:bidi w:val="0"/>
              <w:spacing w:before="0" w:after="283"/>
              <w:jc w:val="left"/>
              <w:rPr>
                <w:b/>
              </w:rPr>
            </w:pPr>
            <w:r>
              <w:rPr>
                <w:b/>
              </w:rPr>
              <w:t>)</w:t>
            </w:r>
          </w:p>
        </w:tc>
      </w:tr>
      <w:tr>
        <w:trPr/>
        <w:tc>
          <w:tcPr>
            <w:tcW w:w="6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512" w:type="dxa"/>
            <w:tcBorders/>
            <w:shd w:fill="FFFFFF" w:val="clear"/>
            <w:vAlign w:val="center"/>
          </w:tcPr>
          <w:p>
            <w:pPr>
              <w:pStyle w:val="TableContents"/>
              <w:bidi w:val="0"/>
              <w:spacing w:before="0" w:after="283"/>
              <w:jc w:val="left"/>
              <w:rPr/>
            </w:pPr>
            <w:r>
              <w:rPr/>
              <w:t> </w:t>
            </w:r>
          </w:p>
        </w:tc>
      </w:tr>
      <w:tr>
        <w:trPr/>
        <w:tc>
          <w:tcPr>
            <w:tcW w:w="680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512" w:type="dxa"/>
            <w:tcBorders/>
            <w:shd w:fill="CCEEFF" w:val="clear"/>
            <w:vAlign w:val="center"/>
          </w:tcPr>
          <w:p>
            <w:pPr>
              <w:pStyle w:val="TableContents"/>
              <w:bidi w:val="0"/>
              <w:spacing w:before="0" w:after="283"/>
              <w:ind w:left="0" w:right="0" w:firstLine="200"/>
              <w:jc w:val="left"/>
              <w:rPr/>
            </w:pPr>
            <w:r>
              <w:rPr/>
              <w:t> </w:t>
            </w:r>
          </w:p>
        </w:tc>
      </w:tr>
      <w:tr>
        <w:trPr/>
        <w:tc>
          <w:tcPr>
            <w:tcW w:w="6800" w:type="dxa"/>
            <w:tcBorders/>
            <w:shd w:fill="FFFFFF" w:val="clear"/>
            <w:vAlign w:val="center"/>
          </w:tcPr>
          <w:p>
            <w:pPr>
              <w:pStyle w:val="TableContents"/>
              <w:bidi w:val="0"/>
              <w:spacing w:before="0" w:after="283"/>
              <w:jc w:val="left"/>
              <w:rPr/>
            </w:pPr>
            <w:r>
              <w:rPr/>
              <w:t>Proceeds from issuance of common stock, net of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3,147,119</w:t>
            </w:r>
          </w:p>
        </w:tc>
        <w:tc>
          <w:tcPr>
            <w:tcW w:w="512" w:type="dxa"/>
            <w:tcBorders/>
            <w:shd w:fill="FFFFFF" w:val="clear"/>
            <w:vAlign w:val="center"/>
          </w:tcPr>
          <w:p>
            <w:pPr>
              <w:pStyle w:val="TableContents"/>
              <w:bidi w:val="0"/>
              <w:spacing w:before="0" w:after="283"/>
              <w:ind w:left="0" w:right="0" w:firstLine="200"/>
              <w:jc w:val="left"/>
              <w:rPr/>
            </w:pPr>
            <w:r>
              <w:rPr/>
              <w:t> </w:t>
            </w:r>
          </w:p>
        </w:tc>
      </w:tr>
      <w:tr>
        <w:trPr/>
        <w:tc>
          <w:tcPr>
            <w:tcW w:w="6800" w:type="dxa"/>
            <w:tcBorders/>
            <w:shd w:fill="CCEEFF" w:val="clear"/>
            <w:vAlign w:val="center"/>
          </w:tcPr>
          <w:p>
            <w:pPr>
              <w:pStyle w:val="TableContents"/>
              <w:bidi w:val="0"/>
              <w:spacing w:before="0" w:after="283"/>
              <w:jc w:val="left"/>
              <w:rPr/>
            </w:pPr>
            <w:r>
              <w:rPr/>
              <w:t>Cash receipt from stock subscription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1,070,000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ind w:left="0" w:right="0" w:firstLine="200"/>
              <w:jc w:val="left"/>
              <w:rPr/>
            </w:pPr>
            <w:r>
              <w:rPr/>
              <w:t> </w:t>
            </w:r>
          </w:p>
        </w:tc>
      </w:tr>
      <w:tr>
        <w:trPr/>
        <w:tc>
          <w:tcPr>
            <w:tcW w:w="6800" w:type="dxa"/>
            <w:tcBorders/>
            <w:shd w:fill="FFFFFF" w:val="clear"/>
            <w:vAlign w:val="center"/>
          </w:tcPr>
          <w:p>
            <w:pPr>
              <w:pStyle w:val="TableContents"/>
              <w:bidi w:val="0"/>
              <w:spacing w:before="0" w:after="283"/>
              <w:jc w:val="left"/>
              <w:rPr/>
            </w:pPr>
            <w:r>
              <w:rPr/>
              <w:t>Proceeds from Avenue Capital Loan Agreement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6,716,562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512" w:type="dxa"/>
            <w:tcBorders/>
            <w:shd w:fill="FFFFFF" w:val="clear"/>
            <w:vAlign w:val="center"/>
          </w:tcPr>
          <w:p>
            <w:pPr>
              <w:pStyle w:val="TableContents"/>
              <w:bidi w:val="0"/>
              <w:spacing w:before="0" w:after="283"/>
              <w:ind w:left="0" w:right="0" w:firstLine="402"/>
              <w:jc w:val="left"/>
              <w:rPr/>
            </w:pPr>
            <w:r>
              <w:rPr/>
              <w:t> </w:t>
            </w:r>
          </w:p>
        </w:tc>
      </w:tr>
      <w:tr>
        <w:trPr/>
        <w:tc>
          <w:tcPr>
            <w:tcW w:w="6800"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7,786,562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3,147,119</w:t>
            </w:r>
          </w:p>
        </w:tc>
        <w:tc>
          <w:tcPr>
            <w:tcW w:w="512" w:type="dxa"/>
            <w:tcBorders/>
            <w:shd w:fill="CCEEFF" w:val="clear"/>
            <w:vAlign w:val="center"/>
          </w:tcPr>
          <w:p>
            <w:pPr>
              <w:pStyle w:val="TableContents"/>
              <w:bidi w:val="0"/>
              <w:spacing w:before="0" w:after="283"/>
              <w:jc w:val="left"/>
              <w:rPr/>
            </w:pPr>
            <w:r>
              <w:rPr/>
              <w:t> </w:t>
            </w:r>
          </w:p>
        </w:tc>
      </w:tr>
      <w:tr>
        <w:trPr/>
        <w:tc>
          <w:tcPr>
            <w:tcW w:w="6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512" w:type="dxa"/>
            <w:tcBorders/>
            <w:shd w:fill="FFFFFF" w:val="clear"/>
            <w:vAlign w:val="center"/>
          </w:tcPr>
          <w:p>
            <w:pPr>
              <w:pStyle w:val="TableContents"/>
              <w:bidi w:val="0"/>
              <w:spacing w:before="0" w:after="283"/>
              <w:jc w:val="left"/>
              <w:rPr/>
            </w:pPr>
            <w:r>
              <w:rPr/>
              <w:t> </w:t>
            </w:r>
          </w:p>
        </w:tc>
      </w:tr>
      <w:tr>
        <w:trPr/>
        <w:tc>
          <w:tcPr>
            <w:tcW w:w="6800" w:type="dxa"/>
            <w:tcBorders/>
            <w:shd w:fill="CCEEFF" w:val="clear"/>
            <w:vAlign w:val="center"/>
          </w:tcPr>
          <w:p>
            <w:pPr>
              <w:pStyle w:val="TableContents"/>
              <w:bidi w:val="0"/>
              <w:spacing w:before="0" w:after="283"/>
              <w:jc w:val="left"/>
              <w:rPr/>
            </w:pPr>
            <w:r>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5,212,366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2,317,344</w:t>
            </w:r>
          </w:p>
        </w:tc>
        <w:tc>
          <w:tcPr>
            <w:tcW w:w="512" w:type="dxa"/>
            <w:tcBorders/>
            <w:shd w:fill="CCEEFF" w:val="clear"/>
            <w:vAlign w:val="center"/>
          </w:tcPr>
          <w:p>
            <w:pPr>
              <w:pStyle w:val="TableContents"/>
              <w:bidi w:val="0"/>
              <w:spacing w:before="0" w:after="283"/>
              <w:jc w:val="left"/>
              <w:rPr/>
            </w:pPr>
            <w:r>
              <w:rPr/>
              <w:t> </w:t>
            </w:r>
          </w:p>
        </w:tc>
      </w:tr>
      <w:tr>
        <w:trPr/>
        <w:tc>
          <w:tcPr>
            <w:tcW w:w="6800" w:type="dxa"/>
            <w:tcBorders/>
            <w:shd w:fill="FFFFFF" w:val="clear"/>
            <w:vAlign w:val="center"/>
          </w:tcPr>
          <w:p>
            <w:pPr>
              <w:pStyle w:val="TableContents"/>
              <w:bidi w:val="0"/>
              <w:spacing w:before="0" w:after="283"/>
              <w:jc w:val="left"/>
              <w:rPr/>
            </w:pPr>
            <w:r>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5,076,144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872,599</w:t>
            </w:r>
          </w:p>
        </w:tc>
        <w:tc>
          <w:tcPr>
            <w:tcW w:w="512" w:type="dxa"/>
            <w:tcBorders/>
            <w:shd w:fill="FFFFFF" w:val="clear"/>
            <w:vAlign w:val="center"/>
          </w:tcPr>
          <w:p>
            <w:pPr>
              <w:pStyle w:val="TableContents"/>
              <w:bidi w:val="0"/>
              <w:spacing w:before="0" w:after="283"/>
              <w:jc w:val="left"/>
              <w:rPr/>
            </w:pPr>
            <w:r>
              <w:rPr/>
              <w:t> </w:t>
            </w:r>
          </w:p>
        </w:tc>
      </w:tr>
      <w:tr>
        <w:trPr/>
        <w:tc>
          <w:tcPr>
            <w:tcW w:w="6800" w:type="dxa"/>
            <w:tcBorders/>
            <w:shd w:fill="CCEEFF" w:val="clear"/>
            <w:vAlign w:val="center"/>
          </w:tcPr>
          <w:p>
            <w:pPr>
              <w:pStyle w:val="TableContents"/>
              <w:bidi w:val="0"/>
              <w:spacing w:before="0" w:after="283"/>
              <w:jc w:val="left"/>
              <w:rPr>
                <w:b/>
              </w:rPr>
            </w:pPr>
            <w:r>
              <w:rPr>
                <w:b/>
              </w:rPr>
              <w:t>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10,288,510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3,189,943</w:t>
            </w:r>
          </w:p>
        </w:tc>
        <w:tc>
          <w:tcPr>
            <w:tcW w:w="512" w:type="dxa"/>
            <w:tcBorders/>
            <w:shd w:fill="CCEEFF" w:val="clear"/>
            <w:vAlign w:val="center"/>
          </w:tcPr>
          <w:p>
            <w:pPr>
              <w:pStyle w:val="TableContents"/>
              <w:bidi w:val="0"/>
              <w:spacing w:before="0" w:after="283"/>
              <w:jc w:val="left"/>
              <w:rPr/>
            </w:pPr>
            <w:r>
              <w:rPr/>
              <w:t> </w:t>
            </w:r>
          </w:p>
        </w:tc>
      </w:tr>
      <w:tr>
        <w:trPr/>
        <w:tc>
          <w:tcPr>
            <w:tcW w:w="6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512" w:type="dxa"/>
            <w:tcBorders/>
            <w:shd w:fill="FFFFFF" w:val="clear"/>
            <w:vAlign w:val="center"/>
          </w:tcPr>
          <w:p>
            <w:pPr>
              <w:pStyle w:val="TableContents"/>
              <w:bidi w:val="0"/>
              <w:spacing w:before="0" w:after="283"/>
              <w:jc w:val="left"/>
              <w:rPr/>
            </w:pPr>
            <w:r>
              <w:rPr/>
              <w:t> </w:t>
            </w:r>
          </w:p>
        </w:tc>
      </w:tr>
      <w:tr>
        <w:trPr/>
        <w:tc>
          <w:tcPr>
            <w:tcW w:w="6800" w:type="dxa"/>
            <w:tcBorders/>
            <w:shd w:fill="CCEEFF" w:val="clear"/>
            <w:vAlign w:val="center"/>
          </w:tcPr>
          <w:p>
            <w:pPr>
              <w:pStyle w:val="TableContents"/>
              <w:bidi w:val="0"/>
              <w:spacing w:before="0" w:after="283"/>
              <w:jc w:val="left"/>
              <w:rPr>
                <w:b/>
              </w:rPr>
            </w:pPr>
            <w:r>
              <w:rPr>
                <w:b/>
              </w:rPr>
              <w:t>Supplemental cash flow data: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512" w:type="dxa"/>
            <w:tcBorders/>
            <w:shd w:fill="CCEEFF" w:val="clear"/>
            <w:vAlign w:val="center"/>
          </w:tcPr>
          <w:p>
            <w:pPr>
              <w:pStyle w:val="TableContents"/>
              <w:bidi w:val="0"/>
              <w:spacing w:before="0" w:after="283"/>
              <w:jc w:val="left"/>
              <w:rPr/>
            </w:pPr>
            <w:r>
              <w:rPr/>
              <w:t> </w:t>
            </w:r>
          </w:p>
        </w:tc>
      </w:tr>
      <w:tr>
        <w:trPr/>
        <w:tc>
          <w:tcPr>
            <w:tcW w:w="6800" w:type="dxa"/>
            <w:tcBorders/>
            <w:shd w:fill="FFFFFF" w:val="clear"/>
            <w:vAlign w:val="center"/>
          </w:tcPr>
          <w:p>
            <w:pPr>
              <w:pStyle w:val="TableContents"/>
              <w:bidi w:val="0"/>
              <w:spacing w:before="0" w:after="283"/>
              <w:jc w:val="left"/>
              <w:rPr/>
            </w:pPr>
            <w:r>
              <w:rPr/>
              <w:t>Cash paid for interest on term loan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235,813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512" w:type="dxa"/>
            <w:tcBorders/>
            <w:shd w:fill="FFFFFF" w:val="clear"/>
            <w:vAlign w:val="center"/>
          </w:tcPr>
          <w:p>
            <w:pPr>
              <w:pStyle w:val="TableContents"/>
              <w:bidi w:val="0"/>
              <w:spacing w:before="0" w:after="283"/>
              <w:jc w:val="left"/>
              <w:rPr/>
            </w:pPr>
            <w:r>
              <w:rPr/>
              <w:t> </w:t>
            </w:r>
          </w:p>
        </w:tc>
      </w:tr>
      <w:tr>
        <w:trPr/>
        <w:tc>
          <w:tcPr>
            <w:tcW w:w="6800" w:type="dxa"/>
            <w:tcBorders/>
            <w:shd w:fill="CCEEFF" w:val="clear"/>
            <w:vAlign w:val="center"/>
          </w:tcPr>
          <w:p>
            <w:pPr>
              <w:pStyle w:val="TableContents"/>
              <w:bidi w:val="0"/>
              <w:spacing w:before="0" w:after="283"/>
              <w:jc w:val="left"/>
              <w:rPr>
                <w:b/>
              </w:rPr>
            </w:pPr>
            <w:r>
              <w:rPr>
                <w:b/>
              </w:rPr>
              <w:t>Supplemental disclosure of non-cash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512" w:type="dxa"/>
            <w:tcBorders/>
            <w:shd w:fill="CCEEFF" w:val="clear"/>
            <w:vAlign w:val="center"/>
          </w:tcPr>
          <w:p>
            <w:pPr>
              <w:pStyle w:val="TableContents"/>
              <w:bidi w:val="0"/>
              <w:spacing w:before="0" w:after="283"/>
              <w:jc w:val="left"/>
              <w:rPr/>
            </w:pPr>
            <w:r>
              <w:rPr/>
              <w:t> </w:t>
            </w:r>
          </w:p>
        </w:tc>
      </w:tr>
      <w:tr>
        <w:trPr/>
        <w:tc>
          <w:tcPr>
            <w:tcW w:w="6800" w:type="dxa"/>
            <w:tcBorders/>
            <w:shd w:fill="FFFFFF" w:val="clear"/>
            <w:vAlign w:val="center"/>
          </w:tcPr>
          <w:p>
            <w:pPr>
              <w:pStyle w:val="TableContents"/>
              <w:bidi w:val="0"/>
              <w:spacing w:before="0" w:after="283"/>
              <w:jc w:val="left"/>
              <w:rPr/>
            </w:pPr>
            <w:r>
              <w:rPr/>
              <w:t>Issuance of common stock under Avenue Capital Agreement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1,050,967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5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TURN THERAPEUTICS INC.</w:t>
      </w:r>
    </w:p>
    <w:p>
      <w:pPr>
        <w:pStyle w:val="TextBody"/>
        <w:bidi w:val="0"/>
        <w:spacing w:before="0" w:after="0"/>
        <w:ind w:left="0" w:right="0" w:hanging="0"/>
        <w:jc w:val="center"/>
        <w:rPr>
          <w:rFonts w:ascii="Times New Roman;Times;Serif" w:hAnsi="Times New Roman;Times;Serif"/>
          <w:b/>
          <w:i w:val="false"/>
          <w:smallCaps/>
          <w:sz w:val="20"/>
        </w:rPr>
      </w:pPr>
      <w:bookmarkStart w:id="8" w:name="a_007"/>
      <w:bookmarkEnd w:id="8"/>
      <w:r>
        <w:rPr>
          <w:rFonts w:ascii="Times New Roman;Times;Serif" w:hAnsi="Times New Roman;Times;Serif"/>
          <w:b/>
          <w:i w:val="false"/>
          <w:smallCaps/>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185"/>
        <w:gridCol w:w="470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47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ORGANIZATION AND DESCRIPTION OF BUSINESS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formed in Delaware in January 2015 as Global Health Solutions, LLC. In October 2018, we converted into a Delaware corporation under the name Global Health Solutions, Inc., and in September 2025, we changed our corporate name to Turn Therapeutics Inc. (hereinafter referred to as the “Company”, “we”, “us” or “our”). Our corporate headquarters are located in Westlake Village,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clinical-stage biotechnology and medical device development company built around our proprietary platform technology called PermaFusion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designed to enhance drug performance. Our primary drug development programs focus on dermatological diseases, including eczema and onychomycosis. We also have a portfolio of Food and Drug Administration (the “FDA”) cleared medical devices. We are also developing an intranasal vaccine with sufficient thermostability for rapid deployment for pandemic response.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Direct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2025, we completed direct listing of our common stock on Nasdaq (the “Direct Listing”) under the ticker symbol TTRX.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1002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BASIS OF PRESENTATION, PRINCIPLES OF CONSOLIDATION AND SUMMARY OF SIGNIFICANT ACCOUNTING POLICIES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accounting principles generally accepted in the United States of America (U.S. GAAP) applicable to interim financial information and pursuant to the instructions of the Securities and Exchange Commission (the “SEC”) on Form 10-Q and Rule 10-01 of Regulation S-X. Accordingly, they do not include all of the information and footnotes required by U.S. GAAP for complete financial statements. Further, the results of our operations for any interim periods are not necessarily indicative of the results that may be expected for any other interim period or the full fiscal year. In the opinion of management, all normal and recurring adjustments considered necessary for a fair presentation have been included. The condensed consolidated balance sheet as of December 31, 2025, has been derived from our audited consolidated financial statements but does not include all disclosures required by U.S. GAAP. Because all of the disclosures required by U.S. GAAP for complete financial statements are not included herein, these unaudited condensed consolidated financial statements and the accompanying notes should be read in conjunction with the Company’s audited consolidated financial statements and the notes thereto in the Company’s Annual Report on Form 10-K (the “Annual Report”) for the fiscal year ended December 31, 2025, as filed with the Securities and Exchange Commission (SEC) on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include the accounts of the Company and its subsidiaries. All intercompany accounts and transactions have been eliminated in consolidation.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2-for-1 Forward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11, 2025, our board of directors (the “Board”) approved a 2-for-1 forward stock split (the “Stock Split”) of our common stock upon the effectiveness of our registration statement on Form S-1 filed with the Securities and Exchange Commission (“SEC”) and our Amended and Restated Certificate of Incorporation filed with the State of Delaware.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2025, our registration statement on Form S-1 was declared effective by the SEC and our Amended and Restated Certificate of Incorporation was filed with the State of Delaware, giving effect to a 2-for-1 forward split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all authorized, issued, and outstanding stock and per share amounts contained herein have been adjusted to reflect the effect of the Stock Split for all prior periods presented. Proportionate adjustments were made to exercise prices and the number of shares issuable under our equity incentive plans and outstanding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impacts of the Stock Split were applied retroactively for all periods presented in accordance with applicable guidance and therefore, amounts may differ from those previously reported.</w:t>
      </w:r>
    </w:p>
    <w:p>
      <w:pPr>
        <w:pStyle w:val="TextBody"/>
        <w:bidi w:val="0"/>
        <w:spacing w:before="0" w:after="0"/>
        <w:ind w:left="0" w:right="0" w:hanging="0"/>
        <w:jc w:val="both"/>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we had approximately $10.3 million of cash and cash equivalents and working capital of approximately $7.8 million (excluding the derivative liability). We have a relatively limited operating history, and the revenue and income potential of our business and market are unproven. We have experienced net losses and negative cash flows from operations since inception and, as of June 30, 2026, we had an accumulated deficit of $29.2 million. During the six months ended June 30, 2026, we incurred a net loss of $6.8 million and had cash outflows from operations of $2.6 million. We will continue to incur costs and expenses related to our ongoing operations until we successfully commercialize, develop, obtain regulatory approval for, and gain market acceptance of products and product candidates and achieve revenues adequate to support our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inception through June 30, 2026, we have funded our operations primarily with proceeds from the sale of common stock, including through exempt offerings under Regulation Crowdfunding, Regulation A+ and Regulation D, draw-down from our Share Purchase Agreement (Note 6), proceeds from debt financings as well as through proceeds from license and collaboration agreements. Based on our current operating plan, we estimate that our cash and cash equivalents as of June 30, 2026 will be sufficient to fund our operating expenses and research and development expenses for development of GX-03 in AD into the third quarter of 2027. We have based this estimate on assumptions that may prove to be wrong, and could deplete our capital resources sooner than we currently expect. Our capital resources may not be sufficient to fund operations through at least the next 12 months from the date that these condensed consolidated financial statements as of June 30, 2026 are issued based on our expected cash needs, which raises substantial doubt about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pursue our business plan, we expect to finance our operations through potential public or private equity offerings, including future draw-downs under our Share Purchase Agreement (Note 6), proceeds from debt financing (Note 8), and additional debt financings or other capital sources, including current or potential future collaborations, licenses and other similar arrangements. However, there can be no assurance that any additional financing or strategic arrangements will be available to us on acceptable terms, if at all. If events or circumstances occur such that we are not able to obtain additional funding, it may be necessary to significantly reduce our scope of operations to reduce the current rate of spending through actions such as reductions in staff and the need to delay, limit, reduce or terminate product development or future commercialization efforts or grant rights to develop and market product candidates that we would otherwise prefer to develop and market ourselves, which could have a material adverse effect on our business,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condensed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include, but are not limited to, those relating to stock-based compensation, revenue recognition, research and development expenses, fair value estimates of warrants and other derivative liabilities, and determination of right-of-use assets under lease transactions and related lease obligations. Although these estimates are based on our knowledge of current events and actions we may undertake in the future, actual results may materially differ from these estimates and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Concentration of Credit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Financial instruments which potentially subject us to significant concentration of credit risk consist of cash and cash equivalents. We maintain deposits in federally insured financial institutions in excess of federally insured limits. We have not experienced any losses in such accounts, and management believes that we are not exposed to significant credit risk due to the nature of the instruments held in the depository institutions. As of June 30, 2026 and December 31, 2025, cash and cash equivalents exceeded Federal Deposit Insurance Corporation insured limits by $9.8 million and $4.5 million, respectively. </w:t>
      </w:r>
    </w:p>
    <w:p>
      <w:pPr>
        <w:pStyle w:val="TextBody"/>
        <w:bidi w:val="0"/>
        <w:spacing w:before="0" w:after="0"/>
        <w:ind w:left="0" w:right="0" w:hanging="0"/>
        <w:jc w:val="both"/>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majority of our accounts payable and accrued expenses are concentrated with one vendor, having a balance of approximately $1.2 million which represents approximately 47% of our accounts payable and accrued expenses as of June 30, 2026. The amount owed to the same vendor as of December 31, 2025 was approximately $1.5 million, which represents approximately 51% of our accounts payable and accrued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are considered to be highly liquid investments with maturities of three months or less at the date of purchase. Cash equivalents primarily represent funds invested in readily available money market securities. As of June 30, 2026 and December 31, 2025, we had cash and cash equivalent balances deposited at multiple major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capitalize costs associated with obtaining patents and trademarks. Intangible assets are amortized over the estimated useful life of 20 years and trademark costs are indefinitely lived.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account for stock-based compensation for both employees and non-employees in accordance with Accounting Standard Codification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Under the fair value recognition provisions of ASC 718, stock-based compensation cost is measured at the grant date based on the fair value of the award and is recognized as expense ratably over the requisite service period, which is generally the option vesting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segments are identified as components of an enterprise about which separate discrete financial information is available for evaluation by the chief operating decision-maker (“CODM”) in making decisions regarding resource allocation and assessing performance. We manage our operations as a single reportable segment for the purposes of assessing performance and making operating decisions.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recorded at fair value on a recurring basis in the balance sheets are categorized based upon the level of judgment associated with the inputs used to measure their fair values. Fair value is defined as the price we would receive to sell an investment in a timely transaction or pay to transfer a liability in a timely transaction with an independent buyer in the principal market, or in the absence of a principal market, the most advantageous market for the investment or liability. A framework is used for measuring fair value utilizing a three-tier hierarchy or levels that prioritizes the inputs to valuation techniques used to measure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levels, in order of the highest to lowest priority, are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Level 1</w:t>
      </w:r>
      <w:r>
        <w:rPr>
          <w:rFonts w:ascii="Times New Roman;Times;Serif" w:hAnsi="Times New Roman;Times;Serif"/>
          <w:b w:val="false"/>
          <w:i w:val="false"/>
          <w:caps w:val="false"/>
          <w:smallCaps w:val="false"/>
          <w:sz w:val="20"/>
        </w:rPr>
        <w:t>— Unadjusted quoted prices in active markets that are accessible at the measurement date for identical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Level 2</w:t>
      </w:r>
      <w:r>
        <w:rPr>
          <w:rFonts w:ascii="Times New Roman;Times;Serif" w:hAnsi="Times New Roman;Times;Serif"/>
          <w:b w:val="false"/>
          <w:i w:val="false"/>
          <w:caps w:val="false"/>
          <w:smallCaps w:val="false"/>
          <w:sz w:val="20"/>
        </w:rPr>
        <w:t>— Quoted prices for similar assets and liabilities in active markets, quoted prices in markets that are not active, or inputs which are observable, either directly or indirectly, for substantially the full term of the asset or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Level 3</w:t>
      </w:r>
      <w:r>
        <w:rPr>
          <w:rFonts w:ascii="Times New Roman;Times;Serif" w:hAnsi="Times New Roman;Times;Serif"/>
          <w:b w:val="false"/>
          <w:i w:val="false"/>
          <w:caps w:val="false"/>
          <w:smallCaps w:val="false"/>
          <w:sz w:val="20"/>
        </w:rPr>
        <w:t>— Prices or valuation techniques that require inputs that are both significant to the fair value measurement and are unobservable (i.e., supported by little or no market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components of other comprehensive loss other than net loss, and accordingly, our comprehensive loss is equivalent to our net loss for the periods presented.</w:t>
      </w:r>
    </w:p>
    <w:p>
      <w:pPr>
        <w:pStyle w:val="TextBody"/>
        <w:bidi w:val="0"/>
        <w:spacing w:before="0" w:after="0"/>
        <w:ind w:left="0" w:right="0" w:hanging="0"/>
        <w:jc w:val="both"/>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between related parties are considered to be related party transactions even though they may not be given accounting recognition. ASC 850, </w:t>
      </w:r>
      <w:r>
        <w:rPr>
          <w:rFonts w:ascii="Times New Roman;Times;Serif" w:hAnsi="Times New Roman;Times;Serif"/>
          <w:b w:val="false"/>
          <w:i/>
          <w:caps w:val="false"/>
          <w:smallCaps w:val="false"/>
          <w:sz w:val="20"/>
        </w:rPr>
        <w:t>Related Party Disclosures</w:t>
      </w:r>
      <w:r>
        <w:rPr>
          <w:rFonts w:ascii="Times New Roman;Times;Serif" w:hAnsi="Times New Roman;Times;Serif"/>
          <w:b w:val="false"/>
          <w:i w:val="false"/>
          <w:caps w:val="false"/>
          <w:smallCaps w:val="false"/>
          <w:sz w:val="20"/>
        </w:rPr>
        <w:t>, requires that transactions with related parties that would make a difference in decision-making shall be disclosed so that users of the financial statements can evaluate their significance.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basic and diluted net loss per share attributable to common stockholders based on the weighted average number of shares of common stock outstanding during the period. Basic net loss per share is calculated by dividing the net loss by the weighted-average number of shares of common stock outstanding for the period. Diluted net loss per share is computed by dividing the net loss by the weighted-average number of shares of common stock and common stock equivalents outstanding for the period. Common stock equivalents are only included when their effect is 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potentially dilutive securities, including outstanding stock options under our equity incentive plans and warrants with exercise prices that are not nominal, have been excluded from the computation of diluted net loss per share as their inclusion would be anti-dilutive. For all periods presented, there is no difference in the number of shares used to calculate basic and diluted shares outstanding due to our net loss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an emerging growth company (“EGC”) as defined in the Jumpstart Our Business Startups Act of 2012, as amended (the “JOBS Act”), and may take advantage of certain exemptions from various reporting requirements that are applicable to other public companies that are not an EGC. We may take advantage of these exemptions until we are no longer an EGC under Section 107 of the JOBS Act, and we have elected to use the extended transition period for complying with new or revised accounting standards. As a result of this election, our condensed consolidated financial statements may not be comparable to companies that comply with public company FASB standards’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ASU 2023-09 requires disaggregated information about a reporting entity’s effective tax rate reconciliation as well as information on income taxes paid. ASU 2023-09 is effective for public entities with annual periods beginning after December 15, 2024, and should be applied on a retrospective basis to all periods presented. We adopted the guidance in the fiscal year beginning January 1, 2025, and the adoption had no material impact on our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Issued Accounting Pronouncements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No. 2024-03, </w:t>
      </w:r>
      <w:r>
        <w:rPr>
          <w:rFonts w:ascii="Times New Roman;Times;Serif" w:hAnsi="Times New Roman;Times;Serif"/>
          <w:b w:val="false"/>
          <w:i/>
          <w:caps w:val="false"/>
          <w:smallCaps w:val="false"/>
          <w:sz w:val="20"/>
        </w:rPr>
        <w:t>Income Statement—Reporting Comprehensive Income—Expense Disaggregation Disclosures</w:t>
      </w:r>
      <w:r>
        <w:rPr>
          <w:rFonts w:ascii="Times New Roman;Times;Serif" w:hAnsi="Times New Roman;Times;Serif"/>
          <w:b w:val="false"/>
          <w:i w:val="false"/>
          <w:caps w:val="false"/>
          <w:smallCaps w:val="false"/>
          <w:sz w:val="20"/>
        </w:rPr>
        <w:t xml:space="preserve"> (Subtopic 220-40). The ASU improves the disclosures about a public business entity’s expenses and provides more detailed information about the types of expenses in commonly presented expense captions. The amendments require that at each interim and annual reporting period an entity will, among other things, disclose amounts of purchases of inventory, employee compensation, depreciation and amortization included in each relevant expense caption (such as cost of sales, SG&amp;A and research and development). The ASU is effective for fiscal years beginning after December 15, 2026, and interim periods within fiscal years beginning after December 15, 2027. Early adoption is permitted. We are currently evaluating this ASU to determine its impact on our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there were several other new accounting pronouncements issued or proposed by the FASB, we do not believe any of those accounting pronouncements have had or will have a material impact on our financial position or operating results.</w:t>
      </w:r>
    </w:p>
    <w:p>
      <w:pPr>
        <w:pStyle w:val="TextBody"/>
        <w:bidi w:val="0"/>
        <w:spacing w:before="0" w:after="0"/>
        <w:ind w:left="0" w:right="0" w:hanging="0"/>
        <w:jc w:val="both"/>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85"/>
        <w:gridCol w:w="291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29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reflected in the condensed consolidated balance sheets for prepaid expenses, accounts payable and accrued expenses and other liabilities are shown at their historical values which approximate their fair values.</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the financial instruments carried at fair value on a recurring basis:</w:t>
      </w:r>
    </w:p>
    <w:p>
      <w:pPr>
        <w:pStyle w:val="TextBody"/>
        <w:bidi w:val="0"/>
        <w:spacing w:before="0" w:after="0"/>
        <w:ind w:left="0" w:right="0" w:hanging="0"/>
        <w:jc w:val="left"/>
        <w:rPr>
          <w:caps/>
        </w:rPr>
      </w:pPr>
      <w:r>
        <w:rPr>
          <w:caps/>
        </w:rPr>
        <w:t> </w:t>
      </w:r>
    </w:p>
    <w:tbl>
      <w:tblPr>
        <w:tblW w:w="7449" w:type="dxa"/>
        <w:jc w:val="left"/>
        <w:tblInd w:w="0" w:type="dxa"/>
        <w:tblLayout w:type="fixed"/>
        <w:tblCellMar>
          <w:top w:w="0" w:type="dxa"/>
          <w:left w:w="0" w:type="dxa"/>
          <w:bottom w:w="0" w:type="dxa"/>
          <w:right w:w="0" w:type="dxa"/>
        </w:tblCellMar>
      </w:tblPr>
      <w:tblGrid>
        <w:gridCol w:w="2840"/>
        <w:gridCol w:w="60"/>
        <w:gridCol w:w="140"/>
        <w:gridCol w:w="980"/>
        <w:gridCol w:w="60"/>
        <w:gridCol w:w="60"/>
        <w:gridCol w:w="449"/>
        <w:gridCol w:w="305"/>
        <w:gridCol w:w="60"/>
        <w:gridCol w:w="60"/>
        <w:gridCol w:w="140"/>
        <w:gridCol w:w="980"/>
        <w:gridCol w:w="60"/>
        <w:gridCol w:w="60"/>
        <w:gridCol w:w="140"/>
        <w:gridCol w:w="980"/>
        <w:gridCol w:w="75"/>
      </w:tblGrid>
      <w:tr>
        <w:trPr/>
        <w:tc>
          <w:tcPr>
            <w:tcW w:w="284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74" w:type="dxa"/>
            <w:gridSpan w:val="14"/>
            <w:tcBorders>
              <w:bottom w:val="single" w:sz="12" w:space="0" w:color="000000"/>
            </w:tcBorders>
            <w:tcMar>
              <w:bottom w:w="28" w:type="dxa"/>
            </w:tcMar>
            <w:vAlign w:val="center"/>
          </w:tcPr>
          <w:p>
            <w:pPr>
              <w:pStyle w:val="TableContents"/>
              <w:bidi w:val="0"/>
              <w:spacing w:before="0" w:after="283"/>
              <w:ind w:left="0" w:right="0" w:hanging="0"/>
              <w:jc w:val="center"/>
              <w:rPr>
                <w:b/>
              </w:rPr>
            </w:pPr>
            <w:r>
              <w:rPr>
                <w:b/>
              </w:rPr>
              <w:t>As at June 30, 2026</w:t>
            </w:r>
          </w:p>
        </w:tc>
        <w:tc>
          <w:tcPr>
            <w:tcW w:w="75" w:type="dxa"/>
            <w:tcBorders/>
            <w:vAlign w:val="center"/>
          </w:tcPr>
          <w:p>
            <w:pPr>
              <w:pStyle w:val="TableContents"/>
              <w:bidi w:val="0"/>
              <w:spacing w:before="0" w:after="283"/>
              <w:ind w:left="0" w:right="0" w:hanging="0"/>
              <w:jc w:val="left"/>
              <w:rPr/>
            </w:pPr>
            <w:r>
              <w:rPr/>
              <w:t> </w:t>
            </w:r>
          </w:p>
        </w:tc>
      </w:tr>
      <w:tr>
        <w:trPr/>
        <w:tc>
          <w:tcPr>
            <w:tcW w:w="284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ind w:left="0" w:right="0" w:hanging="0"/>
              <w:jc w:val="center"/>
              <w:rPr>
                <w:b/>
              </w:rPr>
            </w:pPr>
            <w:r>
              <w:rPr>
                <w:b/>
              </w:rPr>
              <w:t>Level 1</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ind w:left="0" w:right="0" w:hanging="0"/>
              <w:jc w:val="center"/>
              <w:rPr>
                <w:b/>
              </w:rPr>
            </w:pPr>
            <w:r>
              <w:rPr>
                <w:b/>
              </w:rPr>
              <w:t>Level 2</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ind w:left="0" w:right="0" w:hanging="0"/>
              <w:jc w:val="center"/>
              <w:rPr>
                <w:b/>
              </w:rPr>
            </w:pPr>
            <w:r>
              <w:rPr>
                <w:b/>
              </w:rPr>
              <w:t>Level 3</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ind w:left="0" w:right="0" w:hanging="0"/>
              <w:jc w:val="center"/>
              <w:rPr>
                <w:b/>
              </w:rPr>
            </w:pPr>
            <w:r>
              <w:rPr>
                <w:b/>
              </w:rPr>
              <w:t>Total</w:t>
            </w:r>
          </w:p>
        </w:tc>
        <w:tc>
          <w:tcPr>
            <w:tcW w:w="75" w:type="dxa"/>
            <w:tcBorders/>
            <w:vAlign w:val="center"/>
          </w:tcPr>
          <w:p>
            <w:pPr>
              <w:pStyle w:val="TableContents"/>
              <w:bidi w:val="0"/>
              <w:spacing w:before="0" w:after="283"/>
              <w:ind w:left="0" w:right="0" w:hanging="0"/>
              <w:jc w:val="left"/>
              <w:rPr/>
            </w:pPr>
            <w:r>
              <w:rPr/>
              <w:t> </w:t>
            </w:r>
          </w:p>
        </w:tc>
      </w:tr>
      <w:tr>
        <w:trPr/>
        <w:tc>
          <w:tcPr>
            <w:tcW w:w="2840" w:type="dxa"/>
            <w:tcBorders/>
            <w:vAlign w:val="center"/>
          </w:tcPr>
          <w:p>
            <w:pPr>
              <w:pStyle w:val="TableContents"/>
              <w:bidi w:val="0"/>
              <w:spacing w:before="0" w:after="283"/>
              <w:ind w:left="0" w:right="0" w:hanging="0"/>
              <w:jc w:val="left"/>
              <w:rPr>
                <w:b/>
              </w:rPr>
            </w:pPr>
            <w:r>
              <w:rPr>
                <w:b/>
              </w:rPr>
              <w:t>Assets</w:t>
            </w:r>
          </w:p>
        </w:tc>
        <w:tc>
          <w:tcPr>
            <w:tcW w:w="60" w:type="dxa"/>
            <w:tcBorders/>
            <w:vAlign w:val="center"/>
          </w:tcPr>
          <w:p>
            <w:pPr>
              <w:pStyle w:val="TableContents"/>
              <w:bidi w:val="0"/>
              <w:spacing w:before="0" w:after="283"/>
              <w:ind w:left="0" w:right="0" w:hanging="0"/>
              <w:jc w:val="left"/>
              <w:rPr/>
            </w:pPr>
            <w:r>
              <w:rPr/>
              <w:t> </w:t>
            </w:r>
          </w:p>
        </w:tc>
        <w:tc>
          <w:tcPr>
            <w:tcW w:w="1120" w:type="dxa"/>
            <w:gridSpan w:val="2"/>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4" w:type="dxa"/>
            <w:gridSpan w:val="2"/>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0" w:type="dxa"/>
            <w:gridSpan w:val="2"/>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0" w:type="dxa"/>
            <w:gridSpan w:val="2"/>
            <w:tcBorders/>
            <w:vAlign w:val="center"/>
          </w:tcPr>
          <w:p>
            <w:pPr>
              <w:pStyle w:val="TableContents"/>
              <w:bidi w:val="0"/>
              <w:spacing w:before="0" w:after="283"/>
              <w:ind w:left="0" w:right="0" w:hanging="0"/>
              <w:jc w:val="left"/>
              <w:rPr/>
            </w:pPr>
            <w:r>
              <w:rPr/>
              <w:t> </w:t>
            </w:r>
          </w:p>
        </w:tc>
        <w:tc>
          <w:tcPr>
            <w:tcW w:w="75" w:type="dxa"/>
            <w:tcBorders/>
            <w:vAlign w:val="center"/>
          </w:tcPr>
          <w:p>
            <w:pPr>
              <w:pStyle w:val="TableContents"/>
              <w:bidi w:val="0"/>
              <w:spacing w:before="0" w:after="283"/>
              <w:ind w:left="0" w:right="0" w:hanging="0"/>
              <w:jc w:val="left"/>
              <w:rPr/>
            </w:pPr>
            <w:r>
              <w:rPr/>
              <w:t> </w:t>
            </w:r>
          </w:p>
        </w:tc>
      </w:tr>
      <w:tr>
        <w:trPr/>
        <w:tc>
          <w:tcPr>
            <w:tcW w:w="2840" w:type="dxa"/>
            <w:tcBorders/>
            <w:shd w:fill="CCEEFF" w:val="clear"/>
            <w:vAlign w:val="center"/>
          </w:tcPr>
          <w:p>
            <w:pPr>
              <w:pStyle w:val="TableContents"/>
              <w:bidi w:val="0"/>
              <w:spacing w:before="0" w:after="283"/>
              <w:ind w:left="0" w:right="0" w:hanging="0"/>
              <w:jc w:val="left"/>
              <w:rPr/>
            </w:pPr>
            <w:r>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ind w:left="0" w:right="0" w:hanging="0"/>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ind w:left="0" w:right="0" w:hanging="0"/>
              <w:jc w:val="right"/>
              <w:rPr/>
            </w:pPr>
            <w:r>
              <w:rPr/>
              <w:t>9,948,952</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9" w:type="dxa"/>
            <w:tcBorders>
              <w:bottom w:val="double" w:sz="10" w:space="0" w:color="000000"/>
            </w:tcBorders>
            <w:shd w:fill="CCEEFF" w:val="clear"/>
            <w:tcMar>
              <w:bottom w:w="28" w:type="dxa"/>
            </w:tcMar>
            <w:vAlign w:val="center"/>
          </w:tcPr>
          <w:p>
            <w:pPr>
              <w:pStyle w:val="TableContents"/>
              <w:bidi w:val="0"/>
              <w:spacing w:before="0" w:after="283"/>
              <w:ind w:left="0" w:right="0" w:hanging="0"/>
              <w:jc w:val="left"/>
              <w:rPr/>
            </w:pPr>
            <w:r>
              <w:rPr/>
              <w:t>$</w:t>
            </w:r>
          </w:p>
        </w:tc>
        <w:tc>
          <w:tcPr>
            <w:tcW w:w="305" w:type="dxa"/>
            <w:tcBorders>
              <w:bottom w:val="double" w:sz="10"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ind w:left="0" w:right="0" w:hanging="0"/>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ind w:left="0" w:right="0" w:hanging="0"/>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ind w:left="0" w:right="0" w:hanging="0"/>
              <w:jc w:val="right"/>
              <w:rPr/>
            </w:pPr>
            <w:r>
              <w:rPr/>
              <w:t>9,948,952</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284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9" w:type="dxa"/>
            <w:tcBorders/>
            <w:shd w:fill="FFFFFF" w:val="clear"/>
            <w:vAlign w:val="center"/>
          </w:tcPr>
          <w:p>
            <w:pPr>
              <w:pStyle w:val="TableContents"/>
              <w:bidi w:val="0"/>
              <w:spacing w:before="0" w:after="283"/>
              <w:ind w:left="0" w:right="0" w:hanging="0"/>
              <w:jc w:val="left"/>
              <w:rPr/>
            </w:pPr>
            <w:r>
              <w:rPr/>
              <w:t> </w:t>
            </w:r>
          </w:p>
        </w:tc>
        <w:tc>
          <w:tcPr>
            <w:tcW w:w="305"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2840" w:type="dxa"/>
            <w:tcBorders/>
            <w:shd w:fill="CCEEFF" w:val="clear"/>
            <w:vAlign w:val="center"/>
          </w:tcPr>
          <w:p>
            <w:pPr>
              <w:pStyle w:val="TableContents"/>
              <w:bidi w:val="0"/>
              <w:spacing w:before="0" w:after="283"/>
              <w:ind w:left="0" w:right="0" w:hanging="0"/>
              <w:jc w:val="left"/>
              <w:rPr>
                <w:b/>
              </w:rPr>
            </w:pPr>
            <w:r>
              <w:rPr>
                <w:b/>
              </w:rPr>
              <w:t>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9" w:type="dxa"/>
            <w:tcBorders/>
            <w:shd w:fill="CCEEFF" w:val="clear"/>
            <w:vAlign w:val="center"/>
          </w:tcPr>
          <w:p>
            <w:pPr>
              <w:pStyle w:val="TableContents"/>
              <w:bidi w:val="0"/>
              <w:spacing w:before="0" w:after="283"/>
              <w:ind w:left="0" w:right="0" w:hanging="0"/>
              <w:jc w:val="left"/>
              <w:rPr/>
            </w:pPr>
            <w:r>
              <w:rPr/>
              <w:t> </w:t>
            </w:r>
          </w:p>
        </w:tc>
        <w:tc>
          <w:tcPr>
            <w:tcW w:w="305"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2840" w:type="dxa"/>
            <w:tcBorders/>
            <w:shd w:fill="FFFFFF" w:val="clear"/>
            <w:vAlign w:val="center"/>
          </w:tcPr>
          <w:p>
            <w:pPr>
              <w:pStyle w:val="TableContents"/>
              <w:bidi w:val="0"/>
              <w:spacing w:before="0" w:after="283"/>
              <w:ind w:left="0" w:right="0" w:hanging="0"/>
              <w:jc w:val="left"/>
              <w:rPr/>
            </w:pPr>
            <w:r>
              <w:rPr/>
              <w:t>Derivative liability instrument</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ind w:left="0" w:right="0" w:hanging="0"/>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9" w:type="dxa"/>
            <w:tcBorders>
              <w:bottom w:val="double" w:sz="10" w:space="0" w:color="000000"/>
            </w:tcBorders>
            <w:shd w:fill="FFFFFF" w:val="clear"/>
            <w:tcMar>
              <w:bottom w:w="28" w:type="dxa"/>
            </w:tcMar>
            <w:vAlign w:val="center"/>
          </w:tcPr>
          <w:p>
            <w:pPr>
              <w:pStyle w:val="TableContents"/>
              <w:bidi w:val="0"/>
              <w:spacing w:before="0" w:after="283"/>
              <w:ind w:left="0" w:right="0" w:hanging="0"/>
              <w:jc w:val="left"/>
              <w:rPr/>
            </w:pPr>
            <w:r>
              <w:rPr/>
              <w:t>$</w:t>
            </w:r>
          </w:p>
        </w:tc>
        <w:tc>
          <w:tcPr>
            <w:tcW w:w="305" w:type="dxa"/>
            <w:tcBorders>
              <w:bottom w:val="double" w:sz="10"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ind w:left="0" w:right="0" w:hanging="0"/>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ind w:left="0" w:right="0" w:hanging="0"/>
              <w:jc w:val="right"/>
              <w:rPr/>
            </w:pPr>
            <w:r>
              <w:rPr/>
              <w:t>6,109,030</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ind w:left="0" w:right="0" w:hanging="0"/>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ind w:left="0" w:right="0" w:hanging="0"/>
              <w:jc w:val="right"/>
              <w:rPr/>
            </w:pPr>
            <w:r>
              <w:rPr/>
              <w:t>6,109,030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49" w:type="dxa"/>
        <w:jc w:val="left"/>
        <w:tblInd w:w="0" w:type="dxa"/>
        <w:tblLayout w:type="fixed"/>
        <w:tblCellMar>
          <w:top w:w="0" w:type="dxa"/>
          <w:left w:w="0" w:type="dxa"/>
          <w:bottom w:w="0" w:type="dxa"/>
          <w:right w:w="0" w:type="dxa"/>
        </w:tblCellMar>
      </w:tblPr>
      <w:tblGrid>
        <w:gridCol w:w="2840"/>
        <w:gridCol w:w="60"/>
        <w:gridCol w:w="140"/>
        <w:gridCol w:w="980"/>
        <w:gridCol w:w="60"/>
        <w:gridCol w:w="60"/>
        <w:gridCol w:w="449"/>
        <w:gridCol w:w="305"/>
        <w:gridCol w:w="60"/>
        <w:gridCol w:w="60"/>
        <w:gridCol w:w="140"/>
        <w:gridCol w:w="980"/>
        <w:gridCol w:w="60"/>
        <w:gridCol w:w="60"/>
        <w:gridCol w:w="140"/>
        <w:gridCol w:w="980"/>
        <w:gridCol w:w="75"/>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7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at December 31, 2025</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r>
      <w:tr>
        <w:trPr/>
        <w:tc>
          <w:tcPr>
            <w:tcW w:w="2840" w:type="dxa"/>
            <w:tcBorders/>
            <w:shd w:fill="CCEEFF" w:val="clear"/>
            <w:vAlign w:val="center"/>
          </w:tcPr>
          <w:p>
            <w:pPr>
              <w:pStyle w:val="TableContents"/>
              <w:bidi w:val="0"/>
              <w:spacing w:before="0" w:after="283"/>
              <w:jc w:val="left"/>
              <w:rPr/>
            </w:pPr>
            <w:r>
              <w:rPr/>
              <w:t>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4,027,862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4,027,862</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2840" w:type="dxa"/>
            <w:tcBorders/>
            <w:shd w:fill="FFFFFF" w:val="clear"/>
            <w:vAlign w:val="center"/>
          </w:tcPr>
          <w:p>
            <w:pPr>
              <w:pStyle w:val="TableContents"/>
              <w:bidi w:val="0"/>
              <w:spacing w:before="0" w:after="283"/>
              <w:jc w:val="left"/>
              <w:rPr/>
            </w:pPr>
            <w:r>
              <w:rPr/>
              <w:t>Derivative liability instrument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3,028,401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3,028,401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primarily represent funds invested in readily available money market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at June 30, 2026, derivative liability instrument includes contingent warrant liability and the contingent put option liability under the Share Purchase Agreement (Note 6) as well as contingent conversion option under the Avenue Capital Loan Agreement (Note 8). The fair value of the warrant liability was $5.5 million, the fair value of the contingent put option liability was $0.15 million and fair value of contingent conversion option was $0.436 million as at June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at December 31, 2025, derivative liability instrument includes contingent warrant liability and the contingent put option liability under the Share Purchase Agreement (Note 6). The fair value of the warrant liability was $2.8 million and the fair value of the contingent put option liability was $0.2 million at December 31,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following table summarizes the activity related to Level 3 financial liabilities for the six months ended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75"/>
        <w:gridCol w:w="60"/>
        <w:gridCol w:w="145"/>
        <w:gridCol w:w="1015"/>
        <w:gridCol w:w="310"/>
      </w:tblGrid>
      <w:tr>
        <w:trPr/>
        <w:tc>
          <w:tcPr>
            <w:tcW w:w="8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Derivative</w:t>
              <w:br/>
              <w:t>Liability</w:t>
              <w:br/>
              <w:t>Instrument</w:t>
            </w:r>
          </w:p>
        </w:tc>
        <w:tc>
          <w:tcPr>
            <w:tcW w:w="310" w:type="dxa"/>
            <w:tcBorders/>
            <w:vAlign w:val="center"/>
          </w:tcPr>
          <w:p>
            <w:pPr>
              <w:pStyle w:val="TableContents"/>
              <w:bidi w:val="0"/>
              <w:spacing w:before="0" w:after="283"/>
              <w:jc w:val="left"/>
              <w:rPr/>
            </w:pPr>
            <w:r>
              <w:rPr/>
              <w:t> </w:t>
            </w:r>
          </w:p>
        </w:tc>
      </w:tr>
      <w:tr>
        <w:trPr/>
        <w:tc>
          <w:tcPr>
            <w:tcW w:w="8675" w:type="dxa"/>
            <w:tcBorders/>
            <w:shd w:fill="CCEEFF" w:val="clear"/>
            <w:vAlign w:val="center"/>
          </w:tcPr>
          <w:p>
            <w:pPr>
              <w:pStyle w:val="TableContents"/>
              <w:bidi w:val="0"/>
              <w:spacing w:before="0" w:after="283"/>
              <w:jc w:val="left"/>
              <w:rPr/>
            </w:pPr>
            <w:r>
              <w:rPr/>
              <w:t>Fair value at December 31, 2025</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3,028,401</w:t>
            </w:r>
          </w:p>
        </w:tc>
        <w:tc>
          <w:tcPr>
            <w:tcW w:w="310" w:type="dxa"/>
            <w:tcBorders/>
            <w:shd w:fill="CCEEFF" w:val="clear"/>
            <w:vAlign w:val="center"/>
          </w:tcPr>
          <w:p>
            <w:pPr>
              <w:pStyle w:val="TableContents"/>
              <w:bidi w:val="0"/>
              <w:spacing w:before="0" w:after="283"/>
              <w:ind w:left="0" w:right="0" w:firstLine="200"/>
              <w:jc w:val="left"/>
              <w:rPr/>
            </w:pPr>
            <w:r>
              <w:rPr/>
              <w:t> </w:t>
            </w:r>
          </w:p>
        </w:tc>
      </w:tr>
      <w:tr>
        <w:trPr/>
        <w:tc>
          <w:tcPr>
            <w:tcW w:w="8675" w:type="dxa"/>
            <w:tcBorders/>
            <w:shd w:fill="FFFFFF" w:val="clear"/>
            <w:vAlign w:val="center"/>
          </w:tcPr>
          <w:p>
            <w:pPr>
              <w:pStyle w:val="TableContents"/>
              <w:bidi w:val="0"/>
              <w:spacing w:before="0" w:after="283"/>
              <w:jc w:val="left"/>
              <w:rPr/>
            </w:pPr>
            <w:r>
              <w:rPr/>
              <w:t>Addition to derivative liability for conversion option under Avenue Capital Loan Agreement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436,622</w:t>
            </w:r>
          </w:p>
        </w:tc>
        <w:tc>
          <w:tcPr>
            <w:tcW w:w="310" w:type="dxa"/>
            <w:tcBorders/>
            <w:shd w:fill="FFFFFF" w:val="clear"/>
            <w:vAlign w:val="center"/>
          </w:tcPr>
          <w:p>
            <w:pPr>
              <w:pStyle w:val="TableContents"/>
              <w:bidi w:val="0"/>
              <w:spacing w:before="0" w:after="283"/>
              <w:ind w:left="0" w:right="0" w:firstLine="200"/>
              <w:jc w:val="left"/>
              <w:rPr/>
            </w:pPr>
            <w:r>
              <w:rPr/>
              <w:t> </w:t>
            </w:r>
          </w:p>
        </w:tc>
      </w:tr>
      <w:tr>
        <w:trPr/>
        <w:tc>
          <w:tcPr>
            <w:tcW w:w="8675" w:type="dxa"/>
            <w:tcBorders/>
            <w:shd w:fill="CCEEFF" w:val="clear"/>
            <w:vAlign w:val="center"/>
          </w:tcPr>
          <w:p>
            <w:pPr>
              <w:pStyle w:val="TableContents"/>
              <w:bidi w:val="0"/>
              <w:spacing w:before="0" w:after="283"/>
              <w:jc w:val="left"/>
              <w:rPr/>
            </w:pPr>
            <w:r>
              <w:rPr/>
              <w:t>Decrease in fair value of derivative liability for conversion option under Avenue Capital Loan Agreement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(347</w:t>
            </w:r>
          </w:p>
        </w:tc>
        <w:tc>
          <w:tcPr>
            <w:tcW w:w="310" w:type="dxa"/>
            <w:tcBorders/>
            <w:shd w:fill="CCEEFF" w:val="clear"/>
            <w:vAlign w:val="center"/>
          </w:tcPr>
          <w:p>
            <w:pPr>
              <w:pStyle w:val="TableContents"/>
              <w:bidi w:val="0"/>
              <w:spacing w:before="0" w:after="283"/>
              <w:ind w:left="0" w:right="0" w:firstLine="200"/>
              <w:jc w:val="left"/>
              <w:rPr/>
            </w:pPr>
            <w:r>
              <w:rPr/>
              <w:t>)</w:t>
            </w:r>
          </w:p>
        </w:tc>
      </w:tr>
      <w:tr>
        <w:trPr/>
        <w:tc>
          <w:tcPr>
            <w:tcW w:w="8675" w:type="dxa"/>
            <w:tcBorders/>
            <w:shd w:fill="FFFFFF" w:val="clear"/>
            <w:vAlign w:val="center"/>
          </w:tcPr>
          <w:p>
            <w:pPr>
              <w:pStyle w:val="TableContents"/>
              <w:bidi w:val="0"/>
              <w:spacing w:before="0" w:after="283"/>
              <w:jc w:val="left"/>
              <w:rPr/>
            </w:pPr>
            <w:r>
              <w:rPr/>
              <w:t>Decrease in fair value of put option liability under Share Purchase Agreement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(50,034</w:t>
            </w:r>
          </w:p>
        </w:tc>
        <w:tc>
          <w:tcPr>
            <w:tcW w:w="310" w:type="dxa"/>
            <w:tcBorders/>
            <w:shd w:fill="FFFFFF" w:val="clear"/>
            <w:vAlign w:val="center"/>
          </w:tcPr>
          <w:p>
            <w:pPr>
              <w:pStyle w:val="TableContents"/>
              <w:bidi w:val="0"/>
              <w:spacing w:before="0" w:after="283"/>
              <w:ind w:left="0" w:right="0" w:firstLine="200"/>
              <w:jc w:val="left"/>
              <w:rPr/>
            </w:pPr>
            <w:r>
              <w:rPr/>
              <w:t>)</w:t>
            </w:r>
          </w:p>
        </w:tc>
      </w:tr>
      <w:tr>
        <w:trPr/>
        <w:tc>
          <w:tcPr>
            <w:tcW w:w="8675" w:type="dxa"/>
            <w:tcBorders/>
            <w:shd w:fill="CCEEFF" w:val="clear"/>
            <w:vAlign w:val="center"/>
          </w:tcPr>
          <w:p>
            <w:pPr>
              <w:pStyle w:val="TableContents"/>
              <w:bidi w:val="0"/>
              <w:spacing w:before="0" w:after="283"/>
              <w:jc w:val="left"/>
              <w:rPr/>
            </w:pPr>
            <w:r>
              <w:rPr/>
              <w:t>Increase in fair value of warrant derivative liability under Share Purchase Agreement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CCEEFF" w:val="clear"/>
            <w:tcMar>
              <w:bottom w:w="28" w:type="dxa"/>
            </w:tcMar>
            <w:vAlign w:val="center"/>
          </w:tcPr>
          <w:p>
            <w:pPr>
              <w:pStyle w:val="TableContents"/>
              <w:bidi w:val="0"/>
              <w:spacing w:before="0" w:after="283"/>
              <w:jc w:val="right"/>
              <w:rPr/>
            </w:pPr>
            <w:r>
              <w:rPr/>
              <w:t>2,694,388</w:t>
            </w:r>
          </w:p>
        </w:tc>
        <w:tc>
          <w:tcPr>
            <w:tcW w:w="310" w:type="dxa"/>
            <w:tcBorders/>
            <w:shd w:fill="CCEEFF" w:val="clear"/>
            <w:vAlign w:val="center"/>
          </w:tcPr>
          <w:p>
            <w:pPr>
              <w:pStyle w:val="TableContents"/>
              <w:bidi w:val="0"/>
              <w:spacing w:before="0" w:after="283"/>
              <w:jc w:val="left"/>
              <w:rPr/>
            </w:pPr>
            <w:r>
              <w:rPr/>
              <w:t> </w:t>
            </w:r>
          </w:p>
        </w:tc>
      </w:tr>
      <w:tr>
        <w:trPr/>
        <w:tc>
          <w:tcPr>
            <w:tcW w:w="8675" w:type="dxa"/>
            <w:tcBorders/>
            <w:shd w:fill="FFFFFF" w:val="clear"/>
            <w:vAlign w:val="center"/>
          </w:tcPr>
          <w:p>
            <w:pPr>
              <w:pStyle w:val="TableContents"/>
              <w:bidi w:val="0"/>
              <w:spacing w:before="0" w:after="283"/>
              <w:jc w:val="left"/>
              <w:rPr/>
            </w:pPr>
            <w:r>
              <w:rPr/>
              <w:t>Fair value at June 30, 2026</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15" w:type="dxa"/>
            <w:tcBorders>
              <w:bottom w:val="double" w:sz="10" w:space="0" w:color="000000"/>
            </w:tcBorders>
            <w:shd w:fill="FFFFFF" w:val="clear"/>
            <w:tcMar>
              <w:bottom w:w="28" w:type="dxa"/>
            </w:tcMar>
            <w:vAlign w:val="center"/>
          </w:tcPr>
          <w:p>
            <w:pPr>
              <w:pStyle w:val="TableContents"/>
              <w:bidi w:val="0"/>
              <w:spacing w:before="0" w:after="283"/>
              <w:jc w:val="right"/>
              <w:rPr/>
            </w:pPr>
            <w:r>
              <w:rPr/>
              <w:t>6,109,030</w:t>
            </w:r>
          </w:p>
        </w:tc>
        <w:tc>
          <w:tcPr>
            <w:tcW w:w="3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and December 31, 2025, the warrant liability value for the warrant issued to investor under the Share Purchase Agreement (Note 6) was determined using a Monte Carlo simulation. Inputs used in the Monte Carlo simulation are as below:</w:t>
      </w:r>
    </w:p>
    <w:p>
      <w:pPr>
        <w:pStyle w:val="TextBody"/>
        <w:bidi w:val="0"/>
        <w:spacing w:before="0" w:after="0"/>
        <w:ind w:left="0" w:right="0" w:hanging="0"/>
        <w:jc w:val="both"/>
        <w:rPr>
          <w:caps w:val="false"/>
          <w:smallCaps w:val="false"/>
        </w:rPr>
      </w:pPr>
      <w:r>
        <w:rPr>
          <w:caps w:val="false"/>
          <w:smallCaps w:val="false"/>
        </w:rPr>
        <w:t> </w:t>
      </w:r>
    </w:p>
    <w:tbl>
      <w:tblPr>
        <w:tblW w:w="4793" w:type="dxa"/>
        <w:jc w:val="left"/>
        <w:tblInd w:w="0" w:type="dxa"/>
        <w:tblLayout w:type="fixed"/>
        <w:tblCellMar>
          <w:top w:w="0" w:type="dxa"/>
          <w:left w:w="0" w:type="dxa"/>
          <w:bottom w:w="0" w:type="dxa"/>
          <w:right w:w="0" w:type="dxa"/>
        </w:tblCellMar>
      </w:tblPr>
      <w:tblGrid>
        <w:gridCol w:w="2045"/>
        <w:gridCol w:w="60"/>
        <w:gridCol w:w="185"/>
        <w:gridCol w:w="584"/>
        <w:gridCol w:w="215"/>
        <w:gridCol w:w="60"/>
        <w:gridCol w:w="168"/>
        <w:gridCol w:w="1246"/>
        <w:gridCol w:w="230"/>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br/>
              <w:t xml:space="preserve">June 30,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at </w:t>
              <w:br/>
              <w:t>December 31,</w:t>
              <w:br/>
              <w:t>2025</w:t>
            </w:r>
          </w:p>
        </w:tc>
        <w:tc>
          <w:tcPr>
            <w:tcW w:w="230"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right"/>
              <w:rPr/>
            </w:pPr>
            <w:r>
              <w:rPr/>
              <w:t>4.15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3.54</w:t>
            </w:r>
          </w:p>
        </w:tc>
        <w:tc>
          <w:tcPr>
            <w:tcW w:w="230" w:type="dxa"/>
            <w:tcBorders/>
            <w:shd w:fill="CCEEFF" w:val="clear"/>
            <w:vAlign w:val="center"/>
          </w:tcPr>
          <w:p>
            <w:pPr>
              <w:pStyle w:val="TableContents"/>
              <w:bidi w:val="0"/>
              <w:spacing w:before="0" w:after="283"/>
              <w:jc w:val="left"/>
              <w:rPr/>
            </w:pPr>
            <w:r>
              <w:rPr/>
              <w:t>%</w:t>
            </w:r>
          </w:p>
        </w:tc>
      </w:tr>
      <w:tr>
        <w:trPr/>
        <w:tc>
          <w:tcPr>
            <w:tcW w:w="2045" w:type="dxa"/>
            <w:tcBorders/>
            <w:shd w:fill="FFFFFF" w:val="clear"/>
            <w:vAlign w:val="center"/>
          </w:tcPr>
          <w:p>
            <w:pPr>
              <w:pStyle w:val="TableContents"/>
              <w:bidi w:val="0"/>
              <w:spacing w:before="0" w:after="283"/>
              <w:jc w:val="left"/>
              <w:rPr/>
            </w:pPr>
            <w:r>
              <w:rPr/>
              <w:t>Dividend yield</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pPr>
            <w:r>
              <w:rPr/>
              <w:t>Term (years)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right"/>
              <w:rPr/>
            </w:pPr>
            <w:r>
              <w:rPr/>
              <w:t>2.28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2.77</w:t>
            </w:r>
          </w:p>
        </w:tc>
        <w:tc>
          <w:tcPr>
            <w:tcW w:w="23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left"/>
              <w:rPr/>
            </w:pPr>
            <w:r>
              <w:rPr/>
              <w:t>Annual volatility</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pPr>
            <w:r>
              <w:rPr/>
              <w:t>94.7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94.4</w:t>
            </w:r>
          </w:p>
        </w:tc>
        <w:tc>
          <w:tcPr>
            <w:tcW w:w="230" w:type="dxa"/>
            <w:tcBorders/>
            <w:shd w:fill="FFFFFF" w:val="clear"/>
            <w:vAlign w:val="center"/>
          </w:tcPr>
          <w:p>
            <w:pPr>
              <w:pStyle w:val="TableContents"/>
              <w:bidi w:val="0"/>
              <w:spacing w:before="0" w:after="283"/>
              <w:jc w:val="left"/>
              <w:rPr/>
            </w:pPr>
            <w:r>
              <w:rPr/>
              <w:t>%</w:t>
            </w:r>
          </w:p>
        </w:tc>
      </w:tr>
      <w:tr>
        <w:trPr/>
        <w:tc>
          <w:tcPr>
            <w:tcW w:w="2045" w:type="dxa"/>
            <w:tcBorders/>
            <w:shd w:fill="CCEEFF" w:val="clear"/>
            <w:vAlign w:val="center"/>
          </w:tcPr>
          <w:p>
            <w:pPr>
              <w:pStyle w:val="TableContents"/>
              <w:bidi w:val="0"/>
              <w:spacing w:before="0" w:after="283"/>
              <w:jc w:val="left"/>
              <w:rPr/>
            </w:pPr>
            <w:r>
              <w:rPr/>
              <w:t>Closing stock price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584" w:type="dxa"/>
            <w:tcBorders/>
            <w:shd w:fill="CCEEFF" w:val="clear"/>
            <w:vAlign w:val="center"/>
          </w:tcPr>
          <w:p>
            <w:pPr>
              <w:pStyle w:val="TableContents"/>
              <w:bidi w:val="0"/>
              <w:spacing w:before="0" w:after="283"/>
              <w:jc w:val="right"/>
              <w:rPr/>
            </w:pPr>
            <w:r>
              <w:rPr/>
              <w:t>7.30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3.94</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and December 31, 2025, the put contract derivative liability was remeasured using a Black-Scholes option valuation model, followed by a series of contractual adjustments. Inputs used in Black-Scholes model were as follows:</w:t>
      </w:r>
    </w:p>
    <w:p>
      <w:pPr>
        <w:pStyle w:val="TextBody"/>
        <w:bidi w:val="0"/>
        <w:spacing w:before="0" w:after="0"/>
        <w:ind w:left="0" w:right="0" w:hanging="0"/>
        <w:jc w:val="both"/>
        <w:rPr>
          <w:caps w:val="false"/>
          <w:smallCaps w:val="false"/>
        </w:rPr>
      </w:pPr>
      <w:r>
        <w:rPr>
          <w:caps w:val="false"/>
          <w:smallCaps w:val="false"/>
        </w:rPr>
        <w:t> </w:t>
      </w:r>
    </w:p>
    <w:tbl>
      <w:tblPr>
        <w:tblW w:w="4793" w:type="dxa"/>
        <w:jc w:val="left"/>
        <w:tblInd w:w="0" w:type="dxa"/>
        <w:tblLayout w:type="fixed"/>
        <w:tblCellMar>
          <w:top w:w="0" w:type="dxa"/>
          <w:left w:w="0" w:type="dxa"/>
          <w:bottom w:w="0" w:type="dxa"/>
          <w:right w:w="0" w:type="dxa"/>
        </w:tblCellMar>
      </w:tblPr>
      <w:tblGrid>
        <w:gridCol w:w="2045"/>
        <w:gridCol w:w="60"/>
        <w:gridCol w:w="185"/>
        <w:gridCol w:w="584"/>
        <w:gridCol w:w="215"/>
        <w:gridCol w:w="60"/>
        <w:gridCol w:w="168"/>
        <w:gridCol w:w="1246"/>
        <w:gridCol w:w="230"/>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br/>
              <w:t xml:space="preserve">June 30,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at </w:t>
              <w:br/>
              <w:t>December 31,</w:t>
              <w:br/>
              <w:t>2025</w:t>
            </w:r>
          </w:p>
        </w:tc>
        <w:tc>
          <w:tcPr>
            <w:tcW w:w="230"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right"/>
              <w:rPr/>
            </w:pPr>
            <w:r>
              <w:rPr/>
              <w:t>4.15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3.61</w:t>
            </w:r>
          </w:p>
        </w:tc>
        <w:tc>
          <w:tcPr>
            <w:tcW w:w="230" w:type="dxa"/>
            <w:tcBorders/>
            <w:shd w:fill="CCEEFF" w:val="clear"/>
            <w:vAlign w:val="center"/>
          </w:tcPr>
          <w:p>
            <w:pPr>
              <w:pStyle w:val="TableContents"/>
              <w:bidi w:val="0"/>
              <w:spacing w:before="0" w:after="283"/>
              <w:jc w:val="left"/>
              <w:rPr/>
            </w:pPr>
            <w:r>
              <w:rPr/>
              <w:t>%</w:t>
            </w:r>
          </w:p>
        </w:tc>
      </w:tr>
      <w:tr>
        <w:trPr/>
        <w:tc>
          <w:tcPr>
            <w:tcW w:w="2045" w:type="dxa"/>
            <w:tcBorders/>
            <w:shd w:fill="FFFFFF" w:val="clear"/>
            <w:vAlign w:val="center"/>
          </w:tcPr>
          <w:p>
            <w:pPr>
              <w:pStyle w:val="TableContents"/>
              <w:bidi w:val="0"/>
              <w:spacing w:before="0" w:after="283"/>
              <w:jc w:val="left"/>
              <w:rPr/>
            </w:pPr>
            <w:r>
              <w:rPr/>
              <w:t>Dividend yield</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pPr>
            <w:r>
              <w:rPr/>
              <w:t>Term (years)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right"/>
              <w:rPr/>
            </w:pPr>
            <w:r>
              <w:rPr/>
              <w:t>2.28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2.77</w:t>
            </w:r>
          </w:p>
        </w:tc>
        <w:tc>
          <w:tcPr>
            <w:tcW w:w="23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left"/>
              <w:rPr/>
            </w:pPr>
            <w:r>
              <w:rPr/>
              <w:t>Annual volatility</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pPr>
            <w:r>
              <w:rPr/>
              <w:t>94.7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87.7</w:t>
            </w:r>
          </w:p>
        </w:tc>
        <w:tc>
          <w:tcPr>
            <w:tcW w:w="230" w:type="dxa"/>
            <w:tcBorders/>
            <w:shd w:fill="FFFFFF" w:val="clear"/>
            <w:vAlign w:val="center"/>
          </w:tcPr>
          <w:p>
            <w:pPr>
              <w:pStyle w:val="TableContents"/>
              <w:bidi w:val="0"/>
              <w:spacing w:before="0" w:after="283"/>
              <w:jc w:val="left"/>
              <w:rPr/>
            </w:pPr>
            <w:r>
              <w:rPr/>
              <w:t>%</w:t>
            </w:r>
          </w:p>
        </w:tc>
      </w:tr>
      <w:tr>
        <w:trPr/>
        <w:tc>
          <w:tcPr>
            <w:tcW w:w="2045" w:type="dxa"/>
            <w:tcBorders/>
            <w:shd w:fill="CCEEFF" w:val="clear"/>
            <w:vAlign w:val="center"/>
          </w:tcPr>
          <w:p>
            <w:pPr>
              <w:pStyle w:val="TableContents"/>
              <w:bidi w:val="0"/>
              <w:spacing w:before="0" w:after="283"/>
              <w:jc w:val="left"/>
              <w:rPr/>
            </w:pPr>
            <w:r>
              <w:rPr/>
              <w:t>Closing stock price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584" w:type="dxa"/>
            <w:tcBorders/>
            <w:shd w:fill="CCEEFF" w:val="clear"/>
            <w:vAlign w:val="center"/>
          </w:tcPr>
          <w:p>
            <w:pPr>
              <w:pStyle w:val="TableContents"/>
              <w:bidi w:val="0"/>
              <w:spacing w:before="0" w:after="283"/>
              <w:jc w:val="right"/>
              <w:rPr/>
            </w:pPr>
            <w:r>
              <w:rPr/>
              <w:t>7.30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3.94</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 conversion derivative liability value for the conversion option under the Avenue Capital Loan Agreement (Note 8) was determined using a Monte Carlo simulation. Inputs used in the Monte Carlo simulation are as below:</w:t>
      </w:r>
    </w:p>
    <w:p>
      <w:pPr>
        <w:pStyle w:val="TextBody"/>
        <w:bidi w:val="0"/>
        <w:spacing w:before="0" w:after="0"/>
        <w:ind w:left="0" w:right="0" w:hanging="0"/>
        <w:jc w:val="both"/>
        <w:rPr>
          <w:caps w:val="false"/>
          <w:smallCaps w:val="false"/>
        </w:rPr>
      </w:pPr>
      <w:r>
        <w:rPr>
          <w:caps w:val="false"/>
          <w:smallCaps w:val="false"/>
        </w:rPr>
        <w:t> </w:t>
      </w:r>
    </w:p>
    <w:tbl>
      <w:tblPr>
        <w:tblW w:w="4448" w:type="dxa"/>
        <w:jc w:val="left"/>
        <w:tblInd w:w="0" w:type="dxa"/>
        <w:tblLayout w:type="fixed"/>
        <w:tblCellMar>
          <w:top w:w="0" w:type="dxa"/>
          <w:left w:w="0" w:type="dxa"/>
          <w:bottom w:w="0" w:type="dxa"/>
          <w:right w:w="0" w:type="dxa"/>
        </w:tblCellMar>
      </w:tblPr>
      <w:tblGrid>
        <w:gridCol w:w="2045"/>
        <w:gridCol w:w="60"/>
        <w:gridCol w:w="185"/>
        <w:gridCol w:w="584"/>
        <w:gridCol w:w="215"/>
        <w:gridCol w:w="60"/>
        <w:gridCol w:w="128"/>
        <w:gridCol w:w="941"/>
        <w:gridCol w:w="230"/>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br/>
              <w:t xml:space="preserve">June 30,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at </w:t>
              <w:br/>
              <w:t>March 31,</w:t>
              <w:br/>
              <w:t>2026</w:t>
            </w:r>
          </w:p>
        </w:tc>
        <w:tc>
          <w:tcPr>
            <w:tcW w:w="230"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right"/>
              <w:rPr/>
            </w:pPr>
            <w:r>
              <w:rPr/>
              <w:t>4.17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3.87</w:t>
            </w:r>
          </w:p>
        </w:tc>
        <w:tc>
          <w:tcPr>
            <w:tcW w:w="230" w:type="dxa"/>
            <w:tcBorders/>
            <w:shd w:fill="CCEEFF" w:val="clear"/>
            <w:vAlign w:val="center"/>
          </w:tcPr>
          <w:p>
            <w:pPr>
              <w:pStyle w:val="TableContents"/>
              <w:bidi w:val="0"/>
              <w:spacing w:before="0" w:after="283"/>
              <w:jc w:val="left"/>
              <w:rPr/>
            </w:pPr>
            <w:r>
              <w:rPr/>
              <w:t>%</w:t>
            </w:r>
          </w:p>
        </w:tc>
      </w:tr>
      <w:tr>
        <w:trPr/>
        <w:tc>
          <w:tcPr>
            <w:tcW w:w="2045" w:type="dxa"/>
            <w:tcBorders/>
            <w:shd w:fill="FFFFFF" w:val="clear"/>
            <w:vAlign w:val="center"/>
          </w:tcPr>
          <w:p>
            <w:pPr>
              <w:pStyle w:val="TableContents"/>
              <w:bidi w:val="0"/>
              <w:spacing w:before="0" w:after="283"/>
              <w:jc w:val="left"/>
              <w:rPr/>
            </w:pPr>
            <w:r>
              <w:rPr/>
              <w:t>Dividend yield</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pPr>
            <w:r>
              <w:rPr/>
              <w:t>Term (years)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right"/>
              <w:rPr/>
            </w:pPr>
            <w:r>
              <w:rPr/>
              <w:t>3.26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3.50</w:t>
            </w:r>
          </w:p>
        </w:tc>
        <w:tc>
          <w:tcPr>
            <w:tcW w:w="23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left"/>
              <w:rPr/>
            </w:pPr>
            <w:r>
              <w:rPr/>
              <w:t>Annual volatility</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pPr>
            <w:r>
              <w:rPr/>
              <w:t>90.8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88.5</w:t>
            </w:r>
          </w:p>
        </w:tc>
        <w:tc>
          <w:tcPr>
            <w:tcW w:w="230" w:type="dxa"/>
            <w:tcBorders/>
            <w:shd w:fill="FFFFFF" w:val="clear"/>
            <w:vAlign w:val="center"/>
          </w:tcPr>
          <w:p>
            <w:pPr>
              <w:pStyle w:val="TableContents"/>
              <w:bidi w:val="0"/>
              <w:spacing w:before="0" w:after="283"/>
              <w:jc w:val="left"/>
              <w:rPr/>
            </w:pPr>
            <w:r>
              <w:rPr/>
              <w:t>%</w:t>
            </w:r>
          </w:p>
        </w:tc>
      </w:tr>
      <w:tr>
        <w:trPr/>
        <w:tc>
          <w:tcPr>
            <w:tcW w:w="2045" w:type="dxa"/>
            <w:tcBorders/>
            <w:shd w:fill="CCEEFF" w:val="clear"/>
            <w:vAlign w:val="center"/>
          </w:tcPr>
          <w:p>
            <w:pPr>
              <w:pStyle w:val="TableContents"/>
              <w:bidi w:val="0"/>
              <w:spacing w:before="0" w:after="283"/>
              <w:jc w:val="left"/>
              <w:rPr/>
            </w:pPr>
            <w:r>
              <w:rPr/>
              <w:t>Closing stock price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584" w:type="dxa"/>
            <w:tcBorders/>
            <w:shd w:fill="CCEEFF" w:val="clear"/>
            <w:vAlign w:val="center"/>
          </w:tcPr>
          <w:p>
            <w:pPr>
              <w:pStyle w:val="TableContents"/>
              <w:bidi w:val="0"/>
              <w:spacing w:before="0" w:after="283"/>
              <w:jc w:val="right"/>
              <w:rPr/>
            </w:pPr>
            <w:r>
              <w:rPr/>
              <w:t>7.30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3.20</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185"/>
        <w:gridCol w:w="273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27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DEFERRED OFFERING COST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Share Purchase Agreement (Note 6), we issued a warrant on Direct Listing date to the investor granting the right to purchase 1,192,207 shares of our common stock representing 4% of the total equity interest, as of that date, at an exercise price of $5.03. The warrant was recognized at fair value on the issuance date as a derivative liability with offsetting debit to deferred offering cost asset recorded on the condensed consolidated balance sheets. The deferred offering cost relating to this warrant is being amortized on straight-line basis over the term of the agreement with related expense being recorded in condensed consolidated statement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Share Purchase Agreement (Note 6), the investor was also entitled to a 1% commitment fee of the Aggregate Limit (defined in Note 6), either in cash or common stock, which was settled through issuance of 161,905 shares of our common stock. The commitment fee was initially recorded, on Direct Listing date, on the condensed consolidated balance sheets as a deferred offering cost which is being amortized on straight-line basis over the term of the agreement with related expense being recorded in condensed consolidated statement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entering the Loan and Security Agreement (Note 8), we recorded debt discount relating to Tranche 2 as deferred offering cost on the condensed consolidated balance sheets. The deferred offering cost relating to Tranche 2 will either be reclassified as debt discount upon drawing of Tranche 2 or recognized as an expense in condensed consolidated statement of operations if we do not draw-down the Tranche 2 under the Loan and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summarized the activity related to deferred offering cost for the six months ended June 30, 2026:</w:t>
      </w:r>
    </w:p>
    <w:p>
      <w:pPr>
        <w:pStyle w:val="TextBody"/>
        <w:bidi w:val="0"/>
        <w:spacing w:before="0" w:after="0"/>
        <w:ind w:left="0" w:right="0" w:hanging="0"/>
        <w:jc w:val="both"/>
        <w:rPr>
          <w:caps w:val="false"/>
          <w:smallCaps w:val="false"/>
        </w:rPr>
      </w:pPr>
      <w:r>
        <w:rPr>
          <w:caps w:val="false"/>
          <w:smallCaps w:val="false"/>
        </w:rPr>
        <w:t> </w:t>
      </w:r>
    </w:p>
    <w:tbl>
      <w:tblPr>
        <w:tblW w:w="8165" w:type="dxa"/>
        <w:jc w:val="left"/>
        <w:tblInd w:w="0" w:type="dxa"/>
        <w:tblLayout w:type="fixed"/>
        <w:tblCellMar>
          <w:top w:w="0" w:type="dxa"/>
          <w:left w:w="0" w:type="dxa"/>
          <w:bottom w:w="0" w:type="dxa"/>
          <w:right w:w="0" w:type="dxa"/>
        </w:tblCellMar>
      </w:tblPr>
      <w:tblGrid>
        <w:gridCol w:w="6800"/>
        <w:gridCol w:w="60"/>
        <w:gridCol w:w="140"/>
        <w:gridCol w:w="1055"/>
        <w:gridCol w:w="110"/>
      </w:tblGrid>
      <w:tr>
        <w:trPr/>
        <w:tc>
          <w:tcPr>
            <w:tcW w:w="680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ind w:left="0" w:right="0" w:hanging="0"/>
              <w:jc w:val="center"/>
              <w:rPr>
                <w:b/>
              </w:rPr>
            </w:pPr>
            <w:r>
              <w:rPr>
                <w:b/>
              </w:rPr>
              <w:t>Amount</w:t>
            </w:r>
          </w:p>
        </w:tc>
        <w:tc>
          <w:tcPr>
            <w:tcW w:w="110" w:type="dxa"/>
            <w:tcBorders/>
            <w:vAlign w:val="center"/>
          </w:tcPr>
          <w:p>
            <w:pPr>
              <w:pStyle w:val="TableContents"/>
              <w:bidi w:val="0"/>
              <w:spacing w:before="0" w:after="283"/>
              <w:ind w:left="0" w:right="0" w:hanging="0"/>
              <w:jc w:val="left"/>
              <w:rPr/>
            </w:pPr>
            <w:r>
              <w:rPr/>
              <w:t> </w:t>
            </w:r>
          </w:p>
        </w:tc>
      </w:tr>
      <w:tr>
        <w:trPr/>
        <w:tc>
          <w:tcPr>
            <w:tcW w:w="6800" w:type="dxa"/>
            <w:tcBorders/>
            <w:shd w:fill="CCEEFF" w:val="clear"/>
            <w:vAlign w:val="center"/>
          </w:tcPr>
          <w:p>
            <w:pPr>
              <w:pStyle w:val="TableContents"/>
              <w:bidi w:val="0"/>
              <w:spacing w:before="0" w:after="283"/>
              <w:ind w:left="0" w:right="0" w:hanging="0"/>
              <w:jc w:val="left"/>
              <w:rPr/>
            </w:pPr>
            <w:r>
              <w:rPr/>
              <w:t>As at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pPr>
            <w:r>
              <w:rPr/>
              <w:t>$</w:t>
            </w:r>
          </w:p>
        </w:tc>
        <w:tc>
          <w:tcPr>
            <w:tcW w:w="1055" w:type="dxa"/>
            <w:tcBorders/>
            <w:shd w:fill="CCEEFF" w:val="clear"/>
            <w:vAlign w:val="center"/>
          </w:tcPr>
          <w:p>
            <w:pPr>
              <w:pStyle w:val="TableContents"/>
              <w:bidi w:val="0"/>
              <w:spacing w:before="0" w:after="283"/>
              <w:ind w:left="0" w:right="0" w:hanging="0"/>
              <w:jc w:val="right"/>
              <w:rPr/>
            </w:pPr>
            <w:r>
              <w:rPr/>
              <w:t>5,956,424</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6800" w:type="dxa"/>
            <w:tcBorders/>
            <w:shd w:fill="FFFFFF" w:val="clear"/>
            <w:vAlign w:val="center"/>
          </w:tcPr>
          <w:p>
            <w:pPr>
              <w:pStyle w:val="TableContents"/>
              <w:bidi w:val="0"/>
              <w:spacing w:before="0" w:after="283"/>
              <w:ind w:left="0" w:right="0" w:hanging="0"/>
              <w:jc w:val="left"/>
              <w:rPr/>
            </w:pPr>
            <w:r>
              <w:rPr/>
              <w:t>Addition - Avenue Tranche 2 deferred offering cost on March 23, 2026</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t>716,415</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6800" w:type="dxa"/>
            <w:tcBorders/>
            <w:shd w:fill="CCEEFF" w:val="clear"/>
            <w:vAlign w:val="center"/>
          </w:tcPr>
          <w:p>
            <w:pPr>
              <w:pStyle w:val="TableContents"/>
              <w:bidi w:val="0"/>
              <w:spacing w:before="0" w:after="283"/>
              <w:ind w:left="0" w:right="0" w:hanging="0"/>
              <w:jc w:val="left"/>
              <w:rPr/>
            </w:pPr>
            <w:r>
              <w:rPr/>
              <w:t>Amortization of deferred offering cost</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ind w:left="0" w:right="0" w:hanging="0"/>
              <w:jc w:val="right"/>
              <w:rPr/>
            </w:pPr>
            <w:r>
              <w:rPr/>
              <w:t>(1,116,394</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6800" w:type="dxa"/>
            <w:tcBorders/>
            <w:shd w:fill="FFFFFF" w:val="clear"/>
            <w:vAlign w:val="center"/>
          </w:tcPr>
          <w:p>
            <w:pPr>
              <w:pStyle w:val="TableContents"/>
              <w:bidi w:val="0"/>
              <w:spacing w:before="0" w:after="283"/>
              <w:ind w:left="0" w:right="0" w:hanging="0"/>
              <w:jc w:val="left"/>
              <w:rPr/>
            </w:pPr>
            <w:r>
              <w:rPr/>
              <w:t>As at 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ind w:left="0" w:right="0" w:hanging="0"/>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ind w:left="0" w:right="0" w:hanging="0"/>
              <w:jc w:val="right"/>
              <w:rPr/>
            </w:pPr>
            <w:r>
              <w:rPr/>
              <w:t>5,556,445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future expected amortization of deferred offering cost is as follows:</w:t>
      </w:r>
    </w:p>
    <w:p>
      <w:pPr>
        <w:pStyle w:val="TextBody"/>
        <w:bidi w:val="0"/>
        <w:spacing w:before="0" w:after="0"/>
        <w:ind w:left="0" w:right="0" w:hanging="0"/>
        <w:jc w:val="both"/>
        <w:rPr>
          <w:caps w:val="false"/>
          <w:smallCaps w:val="false"/>
        </w:rPr>
      </w:pPr>
      <w:r>
        <w:rPr>
          <w:caps w:val="false"/>
          <w:smallCaps w:val="false"/>
        </w:rPr>
        <w:t> </w:t>
      </w:r>
    </w:p>
    <w:tbl>
      <w:tblPr>
        <w:tblW w:w="1770" w:type="dxa"/>
        <w:jc w:val="left"/>
        <w:tblInd w:w="0" w:type="dxa"/>
        <w:tblLayout w:type="fixed"/>
        <w:tblCellMar>
          <w:top w:w="0" w:type="dxa"/>
          <w:left w:w="0" w:type="dxa"/>
          <w:bottom w:w="0" w:type="dxa"/>
          <w:right w:w="0" w:type="dxa"/>
        </w:tblCellMar>
      </w:tblPr>
      <w:tblGrid>
        <w:gridCol w:w="515"/>
        <w:gridCol w:w="60"/>
        <w:gridCol w:w="140"/>
        <w:gridCol w:w="980"/>
        <w:gridCol w:w="75"/>
      </w:tblGrid>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51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1,075,562</w:t>
            </w:r>
          </w:p>
        </w:tc>
        <w:tc>
          <w:tcPr>
            <w:tcW w:w="75" w:type="dxa"/>
            <w:tcBorders/>
            <w:shd w:fill="CCEEFF" w:val="clear"/>
            <w:vAlign w:val="center"/>
          </w:tcPr>
          <w:p>
            <w:pPr>
              <w:pStyle w:val="TableContents"/>
              <w:bidi w:val="0"/>
              <w:spacing w:before="0" w:after="283"/>
              <w:jc w:val="left"/>
              <w:rPr/>
            </w:pPr>
            <w:r>
              <w:rPr/>
              <w:t> </w:t>
            </w:r>
          </w:p>
        </w:tc>
      </w:tr>
      <w:tr>
        <w:trPr/>
        <w:tc>
          <w:tcPr>
            <w:tcW w:w="51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2,867,539</w:t>
            </w:r>
          </w:p>
        </w:tc>
        <w:tc>
          <w:tcPr>
            <w:tcW w:w="75" w:type="dxa"/>
            <w:tcBorders/>
            <w:shd w:fill="FFFFFF" w:val="clear"/>
            <w:vAlign w:val="center"/>
          </w:tcPr>
          <w:p>
            <w:pPr>
              <w:pStyle w:val="TableContents"/>
              <w:bidi w:val="0"/>
              <w:spacing w:before="0" w:after="283"/>
              <w:jc w:val="left"/>
              <w:rPr/>
            </w:pPr>
            <w:r>
              <w:rPr/>
              <w:t> </w:t>
            </w:r>
          </w:p>
        </w:tc>
      </w:tr>
      <w:tr>
        <w:trPr/>
        <w:tc>
          <w:tcPr>
            <w:tcW w:w="51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1,613,344</w:t>
            </w:r>
          </w:p>
        </w:tc>
        <w:tc>
          <w:tcPr>
            <w:tcW w:w="75" w:type="dxa"/>
            <w:tcBorders/>
            <w:shd w:fill="CCEEFF" w:val="clear"/>
            <w:vAlign w:val="center"/>
          </w:tcPr>
          <w:p>
            <w:pPr>
              <w:pStyle w:val="TableContents"/>
              <w:bidi w:val="0"/>
              <w:spacing w:before="0" w:after="283"/>
              <w:jc w:val="left"/>
              <w:rPr/>
            </w:pPr>
            <w:r>
              <w:rPr/>
              <w:t> </w:t>
            </w:r>
          </w:p>
        </w:tc>
      </w:tr>
      <w:tr>
        <w:trPr/>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5,556,445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185"/>
        <w:gridCol w:w="456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45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CAPITALIZATION AND EQUITY TRANSACTIONS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amended and restated certificate of incorporation authorizes the issuance of up to 500,000,000 shares of common stock with a par value of $0.0001 per share. As at June 30, 2026 and December 31, 2025, 29,788,040 and 29,445,183 shares of our common stock were issued and outstanding,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amended and restated certificate of incorporation authorizes the issuance of up to 100,000,000 shares of preferred stock with par value of $0.0001 per share. As at June 30, 2026 and December 31, 2025, no shares of our preferred stock were issued and outstanding.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Crowdfunding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2024, we launched a crowdfunding campaign pursuant to Regulation Crowdfunding with StartEngine as our registered platform. We were offering common stock to accredited and non-accredited investors with an offering price of $4.59. The offering closed on March 15, 2025 and from January 1, 2025 through the closing date on March 15, 2025, we sold 215,972 shares of common stock for net proceeds of approximately $0.8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Regulation A+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2025, the SEC qualified our Regulation A+ offering with StartEngine as our registered platform. We were offering common stock to accredited and non-accredited investors with an offering price of $5.63. The offering closed on June 27, 2025, and we sold 83,610 shares of our common stock and received net proceeds of $0.3 million, net of offering costs and platform fees.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Regulation D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2025, our Board authorized a private offering pursuant to Regulation D. We were offering common stock to accredited investors with a minimum investment of $100,000, an offering price of $4.59 per share and certain warrants with an exercise price of $0.005. The offering closed on June 27, 2025, and we issued 596,478 shares of our common stock and received gross proceeds of approximately $2.7 million. All the investors in this offering simultaneously exercised the warrants, and we issued 178,990 shares of our common stock upon exercise of warrants for cash proceeds of approximately $900.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23, 2025, we issued 25,252 shares of common stock, in aggregate, to a director and an officer at the closing market price of $4.95 per share on October 23, 2025. The gross proceeds from the issuance of shares were approximately $0.1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in Exchange for Advisory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2025, we engaged Clear Street LLC (“Clear Street”) as an exclusive financial advisor for certain services, including advisory services in connection with the Direct Listing. As part of the engagement, we issued 54,466 shares of our common stock to Clear Street for advisory services amounting to approximately $0.25 million. The related expense was recorded as period cost in general and administrative expenses. </w:t>
      </w:r>
    </w:p>
    <w:p>
      <w:pPr>
        <w:pStyle w:val="TextBody"/>
        <w:bidi w:val="0"/>
        <w:spacing w:before="0" w:after="0"/>
        <w:ind w:left="0" w:right="0" w:hanging="0"/>
        <w:jc w:val="both"/>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Grants, Exercises, Expirations and Modifications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2017, we issued warrants to a certain investor to purchase 47,620 shares of our common stock at an exercise price of $0.005. Upon conversion to a Corporation in 2018, the warrants were amended to purchase 47,620 shares of common stock with all other terms and conditions being unchanged. In 2025, the warrants were exercised and converted into 47,620 shares of our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2022, we issued warrants to a certain party, as success fee for issuance and conversion of convertible notes, to purchase 40,124 shares of our common stock at an exercise price of $3.25.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warrants issued in 2017 and 2022 was estimated on the grant date using the Black-Scholes option pricing model, and the related expense was recognized on the grant date as the warrants did not have a vesting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the terms of the warrants issued in 2017 and 2022 and determined that they should be classified as equity instruments within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Direct Listing, we issued warrants to certain investor under the Share Purchase Agreement (Note 6) to purchase 1,192,207 shares of our common stock at an exercise price of $5.03.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following common stock warrants were outstanding:</w:t>
      </w:r>
    </w:p>
    <w:p>
      <w:pPr>
        <w:pStyle w:val="TextBody"/>
        <w:bidi w:val="0"/>
        <w:spacing w:before="0" w:after="0"/>
        <w:ind w:left="0" w:right="0" w:hanging="0"/>
        <w:jc w:val="both"/>
        <w:rPr>
          <w:caps w:val="false"/>
          <w:smallCaps w:val="false"/>
        </w:rPr>
      </w:pPr>
      <w:r>
        <w:rPr>
          <w:caps w:val="false"/>
          <w:smallCaps w:val="false"/>
        </w:rPr>
        <w:t>  </w:t>
      </w:r>
    </w:p>
    <w:tbl>
      <w:tblPr>
        <w:tblW w:w="6343" w:type="dxa"/>
        <w:jc w:val="left"/>
        <w:tblInd w:w="0" w:type="dxa"/>
        <w:tblLayout w:type="fixed"/>
        <w:tblCellMar>
          <w:top w:w="0" w:type="dxa"/>
          <w:left w:w="0" w:type="dxa"/>
          <w:bottom w:w="0" w:type="dxa"/>
          <w:right w:w="0" w:type="dxa"/>
        </w:tblCellMar>
      </w:tblPr>
      <w:tblGrid>
        <w:gridCol w:w="206"/>
        <w:gridCol w:w="2693"/>
        <w:gridCol w:w="60"/>
        <w:gridCol w:w="60"/>
        <w:gridCol w:w="348"/>
        <w:gridCol w:w="1096"/>
        <w:gridCol w:w="60"/>
        <w:gridCol w:w="60"/>
        <w:gridCol w:w="60"/>
        <w:gridCol w:w="1625"/>
        <w:gridCol w:w="75"/>
      </w:tblGrid>
      <w:tr>
        <w:trPr/>
        <w:tc>
          <w:tcPr>
            <w:tcW w:w="2899" w:type="dxa"/>
            <w:gridSpan w:val="2"/>
            <w:tcBorders/>
            <w:vAlign w:val="center"/>
          </w:tcPr>
          <w:p>
            <w:pPr>
              <w:pStyle w:val="TableContents"/>
              <w:bidi w:val="0"/>
              <w:spacing w:before="0" w:after="283"/>
              <w:jc w:val="center"/>
              <w:rPr>
                <w:b/>
              </w:rPr>
            </w:pPr>
            <w:r>
              <w:rPr>
                <w:b/>
              </w:rPr>
              <w:t>Number of Common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gridSpan w:val="2"/>
            <w:tcBorders/>
            <w:vAlign w:val="center"/>
          </w:tcPr>
          <w:p>
            <w:pPr>
              <w:pStyle w:val="TableContents"/>
              <w:bidi w:val="0"/>
              <w:spacing w:before="0" w:after="283"/>
              <w:jc w:val="center"/>
              <w:rPr>
                <w:b/>
              </w:rPr>
            </w:pPr>
            <w:r>
              <w:rPr>
                <w:b/>
              </w:rPr>
              <w:t>Expiration</w:t>
            </w:r>
          </w:p>
        </w:tc>
        <w:tc>
          <w:tcPr>
            <w:tcW w:w="75" w:type="dxa"/>
            <w:tcBorders/>
            <w:vAlign w:val="center"/>
          </w:tcPr>
          <w:p>
            <w:pPr>
              <w:pStyle w:val="TableContents"/>
              <w:bidi w:val="0"/>
              <w:spacing w:before="0" w:after="283"/>
              <w:jc w:val="left"/>
              <w:rPr/>
            </w:pPr>
            <w:r>
              <w:rPr/>
              <w:t> </w:t>
            </w:r>
          </w:p>
        </w:tc>
      </w:tr>
      <w:tr>
        <w:trPr/>
        <w:tc>
          <w:tcPr>
            <w:tcW w:w="28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underlying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date</w:t>
            </w:r>
          </w:p>
        </w:tc>
        <w:tc>
          <w:tcPr>
            <w:tcW w:w="75" w:type="dxa"/>
            <w:tcBorders/>
            <w:vAlign w:val="center"/>
          </w:tcPr>
          <w:p>
            <w:pPr>
              <w:pStyle w:val="TableContents"/>
              <w:bidi w:val="0"/>
              <w:spacing w:before="0" w:after="283"/>
              <w:jc w:val="left"/>
              <w:rPr/>
            </w:pPr>
            <w:r>
              <w:rPr/>
              <w:t> </w:t>
            </w:r>
          </w:p>
        </w:tc>
      </w:tr>
      <w:tr>
        <w:trPr/>
        <w:tc>
          <w:tcPr>
            <w:tcW w:w="206" w:type="dxa"/>
            <w:tcBorders/>
            <w:shd w:fill="CCEEFF" w:val="clear"/>
            <w:vAlign w:val="center"/>
          </w:tcPr>
          <w:p>
            <w:pPr>
              <w:pStyle w:val="TableContents"/>
              <w:bidi w:val="0"/>
              <w:spacing w:before="0" w:after="283"/>
              <w:jc w:val="left"/>
              <w:rPr/>
            </w:pPr>
            <w:r>
              <w:rPr/>
              <w:t> </w:t>
            </w:r>
          </w:p>
        </w:tc>
        <w:tc>
          <w:tcPr>
            <w:tcW w:w="2693" w:type="dxa"/>
            <w:tcBorders/>
            <w:shd w:fill="CCEEFF" w:val="clear"/>
            <w:vAlign w:val="center"/>
          </w:tcPr>
          <w:p>
            <w:pPr>
              <w:pStyle w:val="TableContents"/>
              <w:bidi w:val="0"/>
              <w:spacing w:before="0" w:after="283"/>
              <w:jc w:val="center"/>
              <w:rPr/>
            </w:pPr>
            <w:r>
              <w:rPr/>
              <w:t>40,124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w:t>
            </w:r>
          </w:p>
        </w:tc>
        <w:tc>
          <w:tcPr>
            <w:tcW w:w="1096" w:type="dxa"/>
            <w:tcBorders/>
            <w:shd w:fill="CCEEFF" w:val="clear"/>
            <w:vAlign w:val="center"/>
          </w:tcPr>
          <w:p>
            <w:pPr>
              <w:pStyle w:val="TableContents"/>
              <w:bidi w:val="0"/>
              <w:spacing w:before="0" w:after="283"/>
              <w:jc w:val="right"/>
              <w:rPr/>
            </w:pPr>
            <w:r>
              <w:rPr/>
              <w:t>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center"/>
              <w:rPr/>
            </w:pPr>
            <w:r>
              <w:rPr/>
              <w:t>July 29, 2029</w:t>
            </w:r>
          </w:p>
        </w:tc>
        <w:tc>
          <w:tcPr>
            <w:tcW w:w="75" w:type="dxa"/>
            <w:tcBorders/>
            <w:shd w:fill="CCEEFF" w:val="clear"/>
            <w:vAlign w:val="center"/>
          </w:tcPr>
          <w:p>
            <w:pPr>
              <w:pStyle w:val="TableContents"/>
              <w:bidi w:val="0"/>
              <w:spacing w:before="0" w:after="283"/>
              <w:jc w:val="left"/>
              <w:rPr/>
            </w:pPr>
            <w:r>
              <w:rPr/>
              <w:t> </w:t>
            </w:r>
          </w:p>
        </w:tc>
      </w:tr>
      <w:tr>
        <w:trPr/>
        <w:tc>
          <w:tcPr>
            <w:tcW w:w="206" w:type="dxa"/>
            <w:tcBorders/>
            <w:shd w:fill="FFFFFF" w:val="clear"/>
            <w:vAlign w:val="center"/>
          </w:tcPr>
          <w:p>
            <w:pPr>
              <w:pStyle w:val="TableContents"/>
              <w:bidi w:val="0"/>
              <w:spacing w:before="0" w:after="283"/>
              <w:jc w:val="left"/>
              <w:rPr/>
            </w:pPr>
            <w:r>
              <w:rPr/>
              <w:t> </w:t>
            </w:r>
          </w:p>
        </w:tc>
        <w:tc>
          <w:tcPr>
            <w:tcW w:w="2693" w:type="dxa"/>
            <w:tcBorders/>
            <w:shd w:fill="FFFFFF" w:val="clear"/>
            <w:vAlign w:val="center"/>
          </w:tcPr>
          <w:p>
            <w:pPr>
              <w:pStyle w:val="TableContents"/>
              <w:bidi w:val="0"/>
              <w:spacing w:before="0" w:after="283"/>
              <w:jc w:val="center"/>
              <w:rPr/>
            </w:pPr>
            <w:r>
              <w:rPr/>
              <w:t>1,192,207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w:t>
            </w:r>
          </w:p>
        </w:tc>
        <w:tc>
          <w:tcPr>
            <w:tcW w:w="1096" w:type="dxa"/>
            <w:tcBorders/>
            <w:shd w:fill="FFFFFF" w:val="clear"/>
            <w:vAlign w:val="center"/>
          </w:tcPr>
          <w:p>
            <w:pPr>
              <w:pStyle w:val="TableContents"/>
              <w:bidi w:val="0"/>
              <w:spacing w:before="0" w:after="283"/>
              <w:jc w:val="right"/>
              <w:rPr/>
            </w:pPr>
            <w:r>
              <w:rPr/>
              <w:t>5.03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center"/>
              <w:rPr/>
            </w:pPr>
            <w:r>
              <w:rPr/>
              <w:t> </w:t>
            </w:r>
            <w:r>
              <w:rPr/>
              <w:t>October 8, 2028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weighted-average exercise price of all outstanding warrants as of June 30, 2026 is $4.97. All outstanding warrants are exercisable by the holder by payment in cash of the stated exercise price per share or through cashless exercise. </w:t>
      </w:r>
    </w:p>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85"/>
        <w:gridCol w:w="311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31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SHARE PURCHASE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2024, we entered into a share purchase agreement with a certain investor for the sale of our common stock of up to $75.0 million (the “Aggregate Limit”) contingent upon us achieving a public listing of its common stock. The agreement allows us to issue common stock to the investor, within three (3) years from public listing, at 90% of the average daily closing price during the draw-down pricing period and the draw-down amount not exceeding 300% of the average trading volume of 15 days immediately preceding the draw-down exercise date. The agreement allows us to put restrictions on stock sales volume by investor, prohibitions on short selling by investor and us being able to set a threshold ‘floor’ price during draw-down periods.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2025, the Share Purchase Agreement was amended to increase the Aggregate Limit from $75.0 million to $85.0 million with the additional $10.0 million available only via a day-one draw-down (the “Initial Draw-Down”). Moreover, the draw-down pricing period for Initial Draw-Down was reduced to 10 trading days with the investor having an option to shorten with six (6) hours’ notice to us. The Initial Draw-Down amount with reduced draw-down pricing period was capped at $10.0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the Share Purchase Agreement was further amended to make changes to the registration rights of the investor and the timing of such registrations. This amendment did not materially change any key terms including the Aggregate Limit, the commitment fee, underlying warrants issuable under the agreement and the draw-down pricing and timing including the initial draw-down.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date of Direct Listing, we issued a warrant to the investor granting the right to purchase 1,192,207 shares of our common stock representing 4% of the total equity interest at an exercise price of $5.03. The warrant was recognized at fair value on the issuance date as a derivative liability using a Monte Carlo valuation method with offsetting debit deferred offering cost asset recorded on the condensed consolidated balance sheets. The fair-value of the warrant was remeasured at June 30, 2026 and December 31, 2025 using the same valuation methodology, and the resulting gain or loss is recognized in condensed consolidated statement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investor was also entitled to a 1% commitment fee of the Aggregate Limit, either in cash or common stock, which was settled through issuance of 161,905 shares of our common stock. The commitment fee was initially recorded on the condensed consolidated balance sheets as a deferred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31, 2025, we issued the Initial Draw-Down Notice for 1,235,200 shares of common stock to investor and the draw-down period for the initial draw-down was extended from 10 trading days to 30 trading days by mutual agreement between us and the investor. The investor advanced us $3.0 million. On the closing date of the initial draw-down notice, i.e., December 15, 2025, the investor accepted 1,235,200 shares at a closing price of approximately $3.29 per share resulting in gross proceeds of $4.1 million, of which $3.0 million was received as an advance on October 31, 2025 and $1.1 million was recorded as subscription receivable as of December 31, 2025 which was received in March 2026. </w:t>
      </w:r>
    </w:p>
    <w:p>
      <w:pPr>
        <w:pStyle w:val="TextBody"/>
        <w:bidi w:val="0"/>
        <w:spacing w:before="0" w:after="0"/>
        <w:ind w:left="0" w:right="0" w:hanging="0"/>
        <w:jc w:val="both"/>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75"/>
        <w:gridCol w:w="170"/>
        <w:gridCol w:w="3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3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STOCK-BASED 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2018 Stock Option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2018, the Board authorized the Stock Option Plan (which may be referred to as the “2018 Plan”). 2,000,000 shares of our common stock were originally reserved to be issued under the Plan and in July 2024, the Board amended the 2018 Plan to decrease the shares reserved to 1,508,934. As at June 30, 2026, no options were available for grant under the 2018 Plan and 1,508,934 shares of our common stock were outstanding under the 2018 Plan subject to option exercise by the 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2024 Stock Option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2024, the Board authorized a new Stock Option Plan (which may be referred to as the “2024 Plan”). 891,066 shares of our common stock were reserved to be issued under the 2024 Plan, which provides for the grant of shares of stock options to employees, non-employee directors, and non-employee consultants. As of June 30, 2026, 697,816 options to purchase shares of our common stock were available for grant and 193,250 shares of our common stock were outstanding under the 2024 Plan subject to option exercise by the holders and vesting restrictions.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Omnibus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Board authorized 2025 Omnibus Plan (which may be referred to as the “2025 Plan”). 3,000,000 shares of our common stock were reserved to be issued under the 2025 Plan, which provides for the grant of shares of stock options, restricted stock units and other equity-based instruments to employees, directors, non-employee directors and consultants among others. As of June 30, 2026, 1,931,134 shares of our common stock were available for grant and 1,006,984 shares of our common stock were outstanding under the 2025 Plan subject to option exercise by the holders and vesting restrictions.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option activity for the six months ended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6"/>
        <w:gridCol w:w="60"/>
        <w:gridCol w:w="60"/>
        <w:gridCol w:w="980"/>
        <w:gridCol w:w="60"/>
        <w:gridCol w:w="60"/>
        <w:gridCol w:w="464"/>
        <w:gridCol w:w="1461"/>
        <w:gridCol w:w="60"/>
        <w:gridCol w:w="60"/>
        <w:gridCol w:w="231"/>
        <w:gridCol w:w="1694"/>
        <w:gridCol w:w="60"/>
        <w:gridCol w:w="60"/>
        <w:gridCol w:w="235"/>
        <w:gridCol w:w="1857"/>
        <w:gridCol w:w="77"/>
      </w:tblGrid>
      <w:tr>
        <w:trPr/>
        <w:tc>
          <w:tcPr>
            <w:tcW w:w="27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Weighted-Average</w:t>
              <w:br/>
              <w:t>Exercise Price</w:t>
              <w:br/>
              <w:t>per Share (USD)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Weighted-Average</w:t>
              <w:br/>
              <w:t>Remaining</w:t>
              <w:br/>
              <w:t>Contractual Term</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w:t>
              <w:br/>
              <w:t>Intrinsic Value (USD)</w:t>
            </w:r>
          </w:p>
        </w:tc>
        <w:tc>
          <w:tcPr>
            <w:tcW w:w="77" w:type="dxa"/>
            <w:tcBorders/>
            <w:vAlign w:val="center"/>
          </w:tcPr>
          <w:p>
            <w:pPr>
              <w:pStyle w:val="TableContents"/>
              <w:bidi w:val="0"/>
              <w:spacing w:before="0" w:after="283"/>
              <w:jc w:val="left"/>
              <w:rPr/>
            </w:pPr>
            <w:r>
              <w:rPr/>
              <w:t> </w:t>
            </w:r>
          </w:p>
        </w:tc>
      </w:tr>
      <w:tr>
        <w:trPr/>
        <w:tc>
          <w:tcPr>
            <w:tcW w:w="2726" w:type="dxa"/>
            <w:tcBorders/>
            <w:shd w:fill="CCEEFF" w:val="clear"/>
            <w:vAlign w:val="center"/>
          </w:tcPr>
          <w:p>
            <w:pPr>
              <w:pStyle w:val="TableContents"/>
              <w:bidi w:val="0"/>
              <w:spacing w:before="0" w:after="283"/>
              <w:jc w:val="left"/>
              <w:rPr/>
            </w:pPr>
            <w:r>
              <w:rPr/>
              <w:t>Outstanding at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1,942,184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w:t>
            </w:r>
          </w:p>
        </w:tc>
        <w:tc>
          <w:tcPr>
            <w:tcW w:w="1461" w:type="dxa"/>
            <w:tcBorders/>
            <w:shd w:fill="CCEEFF" w:val="clear"/>
            <w:vAlign w:val="center"/>
          </w:tcPr>
          <w:p>
            <w:pPr>
              <w:pStyle w:val="TableContents"/>
              <w:bidi w:val="0"/>
              <w:spacing w:before="0" w:after="283"/>
              <w:jc w:val="right"/>
              <w:rPr/>
            </w:pPr>
            <w:r>
              <w:rPr/>
              <w:t>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1857" w:type="dxa"/>
            <w:tcBorders/>
            <w:shd w:fill="CCEEFF" w:val="clear"/>
            <w:vAlign w:val="center"/>
          </w:tcPr>
          <w:p>
            <w:pPr>
              <w:pStyle w:val="TableContents"/>
              <w:bidi w:val="0"/>
              <w:spacing w:before="0" w:after="283"/>
              <w:jc w:val="right"/>
              <w:rPr/>
            </w:pPr>
            <w:r>
              <w:rPr/>
              <w:t>8,075,661</w:t>
            </w:r>
          </w:p>
        </w:tc>
        <w:tc>
          <w:tcPr>
            <w:tcW w:w="77" w:type="dxa"/>
            <w:tcBorders/>
            <w:shd w:fill="CCEEFF" w:val="clear"/>
            <w:vAlign w:val="center"/>
          </w:tcPr>
          <w:p>
            <w:pPr>
              <w:pStyle w:val="TableContents"/>
              <w:bidi w:val="0"/>
              <w:spacing w:before="0" w:after="283"/>
              <w:jc w:val="left"/>
              <w:rPr/>
            </w:pPr>
            <w:r>
              <w:rPr/>
              <w:t> </w:t>
            </w:r>
          </w:p>
        </w:tc>
      </w:tr>
      <w:tr>
        <w:trPr/>
        <w:tc>
          <w:tcPr>
            <w:tcW w:w="2726"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766,984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4.54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6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857"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2726"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2726" w:type="dxa"/>
            <w:tcBorders/>
            <w:shd w:fill="FFFFFF" w:val="clear"/>
            <w:vAlign w:val="center"/>
          </w:tcPr>
          <w:p>
            <w:pPr>
              <w:pStyle w:val="TableContents"/>
              <w:bidi w:val="0"/>
              <w:spacing w:before="0" w:after="283"/>
              <w:jc w:val="left"/>
              <w:rPr/>
            </w:pPr>
            <w:r>
              <w:rPr/>
              <w:t>Cancelled/expired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5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2726" w:type="dxa"/>
            <w:tcBorders/>
            <w:shd w:fill="CCEEFF" w:val="clear"/>
            <w:vAlign w:val="center"/>
          </w:tcPr>
          <w:p>
            <w:pPr>
              <w:pStyle w:val="TableContents"/>
              <w:bidi w:val="0"/>
              <w:spacing w:before="0" w:after="283"/>
              <w:jc w:val="left"/>
              <w:rPr/>
            </w:pPr>
            <w:r>
              <w:rPr/>
              <w:t>Outstanding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2,709,168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46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69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85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10,604,333</w:t>
            </w:r>
          </w:p>
        </w:tc>
        <w:tc>
          <w:tcPr>
            <w:tcW w:w="77" w:type="dxa"/>
            <w:tcBorders/>
            <w:shd w:fill="CCEEFF" w:val="clear"/>
            <w:vAlign w:val="center"/>
          </w:tcPr>
          <w:p>
            <w:pPr>
              <w:pStyle w:val="TableContents"/>
              <w:bidi w:val="0"/>
              <w:spacing w:before="0" w:after="283"/>
              <w:jc w:val="left"/>
              <w:rPr/>
            </w:pPr>
            <w:r>
              <w:rPr/>
              <w:t> </w:t>
            </w:r>
          </w:p>
        </w:tc>
      </w:tr>
      <w:tr>
        <w:trPr/>
        <w:tc>
          <w:tcPr>
            <w:tcW w:w="2726" w:type="dxa"/>
            <w:tcBorders/>
            <w:shd w:fill="FFFFFF" w:val="clear"/>
            <w:vAlign w:val="center"/>
          </w:tcPr>
          <w:p>
            <w:pPr>
              <w:pStyle w:val="TableContents"/>
              <w:bidi w:val="0"/>
              <w:spacing w:before="0" w:after="283"/>
              <w:jc w:val="left"/>
              <w:rPr/>
            </w:pPr>
            <w:r>
              <w:rPr/>
              <w:t>Exercisable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1,664,881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46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85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8,193,326</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 Black-Scholes option pricing model with the following assumptions to estimate the stock-based compensation expense:</w:t>
      </w:r>
    </w:p>
    <w:p>
      <w:pPr>
        <w:pStyle w:val="TextBody"/>
        <w:bidi w:val="0"/>
        <w:spacing w:before="0" w:after="0"/>
        <w:ind w:left="0" w:right="0" w:hanging="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4805"/>
        <w:gridCol w:w="60"/>
        <w:gridCol w:w="60"/>
        <w:gridCol w:w="1055"/>
        <w:gridCol w:w="215"/>
        <w:gridCol w:w="60"/>
        <w:gridCol w:w="60"/>
        <w:gridCol w:w="1100"/>
        <w:gridCol w:w="230"/>
      </w:tblGrid>
      <w:tr>
        <w:trPr/>
        <w:tc>
          <w:tcPr>
            <w:tcW w:w="480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50" w:type="dxa"/>
            <w:gridSpan w:val="6"/>
            <w:tcBorders>
              <w:bottom w:val="single" w:sz="12" w:space="0" w:color="000000"/>
            </w:tcBorders>
            <w:tcMar>
              <w:bottom w:w="28" w:type="dxa"/>
            </w:tcMar>
            <w:vAlign w:val="center"/>
          </w:tcPr>
          <w:p>
            <w:pPr>
              <w:pStyle w:val="TableContents"/>
              <w:bidi w:val="0"/>
              <w:spacing w:before="0" w:after="283"/>
              <w:ind w:left="0" w:right="0" w:hanging="0"/>
              <w:jc w:val="center"/>
              <w:rPr>
                <w:b/>
              </w:rPr>
            </w:pPr>
            <w:r>
              <w:rPr>
                <w:b/>
              </w:rPr>
              <w:t>Six Months Ended</w:t>
              <w:br/>
              <w:t>June 30,</w:t>
            </w:r>
          </w:p>
        </w:tc>
        <w:tc>
          <w:tcPr>
            <w:tcW w:w="230" w:type="dxa"/>
            <w:tcBorders/>
            <w:vAlign w:val="center"/>
          </w:tcPr>
          <w:p>
            <w:pPr>
              <w:pStyle w:val="TableContents"/>
              <w:bidi w:val="0"/>
              <w:spacing w:before="0" w:after="283"/>
              <w:ind w:left="0" w:right="0" w:hanging="0"/>
              <w:jc w:val="left"/>
              <w:rPr/>
            </w:pPr>
            <w:r>
              <w:rPr/>
              <w:t> </w:t>
            </w:r>
          </w:p>
        </w:tc>
      </w:tr>
      <w:tr>
        <w:trPr/>
        <w:tc>
          <w:tcPr>
            <w:tcW w:w="480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ind w:left="0" w:right="0" w:hanging="0"/>
              <w:jc w:val="center"/>
              <w:rPr>
                <w:b/>
              </w:rPr>
            </w:pPr>
            <w:r>
              <w:rPr>
                <w:b/>
              </w:rPr>
              <w:t>2026</w:t>
            </w:r>
          </w:p>
        </w:tc>
        <w:tc>
          <w:tcPr>
            <w:tcW w:w="21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ind w:left="0" w:right="0" w:hanging="0"/>
              <w:jc w:val="center"/>
              <w:rPr>
                <w:b/>
              </w:rPr>
            </w:pPr>
            <w:r>
              <w:rPr>
                <w:b/>
              </w:rPr>
              <w:t>2025</w:t>
            </w:r>
          </w:p>
        </w:tc>
        <w:tc>
          <w:tcPr>
            <w:tcW w:w="230" w:type="dxa"/>
            <w:tcBorders/>
            <w:vAlign w:val="center"/>
          </w:tcPr>
          <w:p>
            <w:pPr>
              <w:pStyle w:val="TableContents"/>
              <w:bidi w:val="0"/>
              <w:spacing w:before="0" w:after="283"/>
              <w:ind w:left="0" w:right="0" w:hanging="0"/>
              <w:jc w:val="left"/>
              <w:rPr/>
            </w:pPr>
            <w:r>
              <w:rPr/>
              <w:t> </w:t>
            </w:r>
          </w:p>
        </w:tc>
      </w:tr>
      <w:tr>
        <w:trPr/>
        <w:tc>
          <w:tcPr>
            <w:tcW w:w="4805" w:type="dxa"/>
            <w:tcBorders/>
            <w:shd w:fill="CCEEFF" w:val="clear"/>
            <w:vAlign w:val="center"/>
          </w:tcPr>
          <w:p>
            <w:pPr>
              <w:pStyle w:val="TableContents"/>
              <w:bidi w:val="0"/>
              <w:spacing w:before="0" w:after="283"/>
              <w:ind w:left="0" w:right="0" w:hanging="0"/>
              <w:jc w:val="left"/>
              <w:rPr/>
            </w:pPr>
            <w:r>
              <w:rPr/>
              <w:t>Risk-free interest rate</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 - 4.26</w:t>
            </w:r>
          </w:p>
        </w:tc>
        <w:tc>
          <w:tcPr>
            <w:tcW w:w="215" w:type="dxa"/>
            <w:tcBorders/>
            <w:shd w:fill="CCEEFF" w:val="clear"/>
            <w:vAlign w:val="center"/>
          </w:tcPr>
          <w:p>
            <w:pPr>
              <w:pStyle w:val="TableContents"/>
              <w:bidi w:val="0"/>
              <w:spacing w:before="0" w:after="283"/>
              <w:ind w:left="0" w:right="0" w:hanging="0"/>
              <w:jc w:val="lef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 xml:space="preserve">4.40% - 4.43 </w:t>
            </w:r>
          </w:p>
        </w:tc>
        <w:tc>
          <w:tcPr>
            <w:tcW w:w="230" w:type="dxa"/>
            <w:tcBorders/>
            <w:shd w:fill="CCEEFF" w:val="clear"/>
            <w:vAlign w:val="center"/>
          </w:tcPr>
          <w:p>
            <w:pPr>
              <w:pStyle w:val="TableContents"/>
              <w:bidi w:val="0"/>
              <w:spacing w:before="0" w:after="283"/>
              <w:ind w:left="0" w:right="0" w:hanging="0"/>
              <w:jc w:val="left"/>
              <w:rPr/>
            </w:pPr>
            <w:r>
              <w:rPr/>
              <w:t>%</w:t>
            </w:r>
          </w:p>
        </w:tc>
      </w:tr>
      <w:tr>
        <w:trPr/>
        <w:tc>
          <w:tcPr>
            <w:tcW w:w="4805" w:type="dxa"/>
            <w:tcBorders/>
            <w:shd w:fill="FFFFFF" w:val="clear"/>
            <w:vAlign w:val="center"/>
          </w:tcPr>
          <w:p>
            <w:pPr>
              <w:pStyle w:val="TableContents"/>
              <w:bidi w:val="0"/>
              <w:spacing w:before="0" w:after="283"/>
              <w:ind w:left="0" w:right="0" w:hanging="0"/>
              <w:jc w:val="left"/>
              <w:rPr/>
            </w:pPr>
            <w:r>
              <w:rPr/>
              <w:t>Dividend yield</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t>-</w:t>
            </w:r>
          </w:p>
        </w:tc>
        <w:tc>
          <w:tcPr>
            <w:tcW w:w="215"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0" w:type="dxa"/>
            <w:tcBorders/>
            <w:shd w:fill="FFFFFF" w:val="clear"/>
            <w:vAlign w:val="center"/>
          </w:tcPr>
          <w:p>
            <w:pPr>
              <w:pStyle w:val="TableContents"/>
              <w:bidi w:val="0"/>
              <w:spacing w:before="0" w:after="283"/>
              <w:ind w:left="0" w:right="0" w:hanging="0"/>
              <w:jc w:val="right"/>
              <w:rPr/>
            </w:pPr>
            <w:r>
              <w:rPr/>
              <w:t>-</w:t>
            </w:r>
          </w:p>
        </w:tc>
        <w:tc>
          <w:tcPr>
            <w:tcW w:w="230" w:type="dxa"/>
            <w:tcBorders/>
            <w:shd w:fill="FFFFFF" w:val="clear"/>
            <w:vAlign w:val="center"/>
          </w:tcPr>
          <w:p>
            <w:pPr>
              <w:pStyle w:val="TableContents"/>
              <w:bidi w:val="0"/>
              <w:spacing w:before="0" w:after="283"/>
              <w:ind w:left="0" w:right="0" w:hanging="0"/>
              <w:jc w:val="left"/>
              <w:rPr/>
            </w:pPr>
            <w:r>
              <w:rPr/>
              <w:t> </w:t>
            </w:r>
          </w:p>
        </w:tc>
      </w:tr>
      <w:tr>
        <w:trPr/>
        <w:tc>
          <w:tcPr>
            <w:tcW w:w="4805" w:type="dxa"/>
            <w:tcBorders/>
            <w:shd w:fill="CCEEFF" w:val="clear"/>
            <w:vAlign w:val="center"/>
          </w:tcPr>
          <w:p>
            <w:pPr>
              <w:pStyle w:val="TableContents"/>
              <w:bidi w:val="0"/>
              <w:spacing w:before="0" w:after="283"/>
              <w:ind w:left="0" w:right="0" w:hanging="0"/>
              <w:jc w:val="left"/>
              <w:rPr/>
            </w:pPr>
            <w:r>
              <w:rPr/>
              <w:t>Weighted-average expected holding period (years)</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pPr>
            <w:r>
              <w:rPr/>
              <w:t>5.59</w:t>
            </w:r>
          </w:p>
        </w:tc>
        <w:tc>
          <w:tcPr>
            <w:tcW w:w="215"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0" w:type="dxa"/>
            <w:tcBorders/>
            <w:shd w:fill="CCEEFF" w:val="clear"/>
            <w:vAlign w:val="center"/>
          </w:tcPr>
          <w:p>
            <w:pPr>
              <w:pStyle w:val="TableContents"/>
              <w:bidi w:val="0"/>
              <w:spacing w:before="0" w:after="283"/>
              <w:ind w:left="0" w:right="0" w:hanging="0"/>
              <w:jc w:val="right"/>
              <w:rPr/>
            </w:pPr>
            <w:r>
              <w:rPr/>
              <w:t>5.62</w:t>
            </w:r>
          </w:p>
        </w:tc>
        <w:tc>
          <w:tcPr>
            <w:tcW w:w="230" w:type="dxa"/>
            <w:tcBorders/>
            <w:shd w:fill="CCEEFF" w:val="clear"/>
            <w:vAlign w:val="center"/>
          </w:tcPr>
          <w:p>
            <w:pPr>
              <w:pStyle w:val="TableContents"/>
              <w:bidi w:val="0"/>
              <w:spacing w:before="0" w:after="283"/>
              <w:ind w:left="0" w:right="0" w:hanging="0"/>
              <w:jc w:val="left"/>
              <w:rPr/>
            </w:pPr>
            <w:r>
              <w:rPr/>
              <w:t> </w:t>
            </w:r>
          </w:p>
        </w:tc>
      </w:tr>
      <w:tr>
        <w:trPr/>
        <w:tc>
          <w:tcPr>
            <w:tcW w:w="4805" w:type="dxa"/>
            <w:tcBorders/>
            <w:shd w:fill="FFFFFF" w:val="clear"/>
            <w:vAlign w:val="center"/>
          </w:tcPr>
          <w:p>
            <w:pPr>
              <w:pStyle w:val="TableContents"/>
              <w:bidi w:val="0"/>
              <w:spacing w:before="0" w:after="283"/>
              <w:ind w:left="0" w:right="0" w:hanging="0"/>
              <w:jc w:val="left"/>
              <w:rPr/>
            </w:pPr>
            <w:r>
              <w:rPr/>
              <w:t>Weighted-average volatility</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t>81.70</w:t>
            </w:r>
          </w:p>
        </w:tc>
        <w:tc>
          <w:tcPr>
            <w:tcW w:w="215" w:type="dxa"/>
            <w:tcBorders/>
            <w:shd w:fill="FFFFFF" w:val="clear"/>
            <w:vAlign w:val="center"/>
          </w:tcPr>
          <w:p>
            <w:pPr>
              <w:pStyle w:val="TableContents"/>
              <w:bidi w:val="0"/>
              <w:spacing w:before="0" w:after="283"/>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0" w:type="dxa"/>
            <w:tcBorders/>
            <w:shd w:fill="FFFFFF" w:val="clear"/>
            <w:vAlign w:val="center"/>
          </w:tcPr>
          <w:p>
            <w:pPr>
              <w:pStyle w:val="TableContents"/>
              <w:bidi w:val="0"/>
              <w:spacing w:before="0" w:after="283"/>
              <w:ind w:left="0" w:right="0" w:hanging="0"/>
              <w:jc w:val="right"/>
              <w:rPr/>
            </w:pPr>
            <w:r>
              <w:rPr/>
              <w:t>87.39</w:t>
            </w:r>
          </w:p>
        </w:tc>
        <w:tc>
          <w:tcPr>
            <w:tcW w:w="230" w:type="dxa"/>
            <w:tcBorders/>
            <w:shd w:fill="FFFFFF" w:val="clear"/>
            <w:vAlign w:val="center"/>
          </w:tcPr>
          <w:p>
            <w:pPr>
              <w:pStyle w:val="TableContents"/>
              <w:bidi w:val="0"/>
              <w:spacing w:before="0" w:after="283"/>
              <w:ind w:left="0" w:right="0" w:hanging="0"/>
              <w:jc w:val="left"/>
              <w:rPr/>
            </w:pPr>
            <w:r>
              <w:rPr/>
              <w:t>%</w:t>
            </w:r>
          </w:p>
        </w:tc>
      </w:tr>
      <w:tr>
        <w:trPr/>
        <w:tc>
          <w:tcPr>
            <w:tcW w:w="4805" w:type="dxa"/>
            <w:tcBorders/>
            <w:shd w:fill="CCEEFF" w:val="clear"/>
            <w:vAlign w:val="center"/>
          </w:tcPr>
          <w:p>
            <w:pPr>
              <w:pStyle w:val="TableContents"/>
              <w:bidi w:val="0"/>
              <w:spacing w:before="0" w:after="283"/>
              <w:ind w:left="0" w:right="0" w:hanging="0"/>
              <w:jc w:val="left"/>
              <w:rPr/>
            </w:pPr>
            <w:r>
              <w:rPr/>
              <w:t>Estimated forfeiture rates for options granted</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pPr>
            <w:r>
              <w:rPr/>
              <w:t>-</w:t>
            </w:r>
          </w:p>
        </w:tc>
        <w:tc>
          <w:tcPr>
            <w:tcW w:w="215"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0" w:type="dxa"/>
            <w:tcBorders/>
            <w:shd w:fill="CCEEFF" w:val="clear"/>
            <w:vAlign w:val="center"/>
          </w:tcPr>
          <w:p>
            <w:pPr>
              <w:pStyle w:val="TableContents"/>
              <w:bidi w:val="0"/>
              <w:spacing w:before="0" w:after="283"/>
              <w:ind w:left="0" w:right="0" w:hanging="0"/>
              <w:jc w:val="right"/>
              <w:rPr/>
            </w:pPr>
            <w:r>
              <w:rPr/>
              <w:t>-</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risk-free interest rate assumption for options granted is based upon observed interest rates on the United States government securities appropriate for the expected term of our employee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yield assumption for options granted is based on our history and expectation of dividend payouts. We have never declared or paid any cash dividends on our common stock, and we do not anticipate paying any cash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lack of historical exercise data, the expected holding period for employee stock options is calculated using the simplified method which takes into consideration the contractual life and vesting terms of the options.</w:t>
      </w:r>
    </w:p>
    <w:p>
      <w:pPr>
        <w:pStyle w:val="TextBody"/>
        <w:bidi w:val="0"/>
        <w:spacing w:before="0" w:after="0"/>
        <w:ind w:left="0" w:right="0" w:hanging="0"/>
        <w:jc w:val="both"/>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determined the expected volatility assumption for options granted using the historical volatility of comparable public companies’ stock. We will continue to monitor peer companies and other relevant factors used to measure expected volatility for future stock option grants, until such time that our common stock has enough market history to use historical volatility. Forfeitures are recognized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Cumulative grant date fair value of all options granted during the six months ended June 30, 2026 and 2025 is approximately $2.4 million and $0.2 million,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unrecognized stock-based compensation expense was $3.35 million, which is expected to be recognized over a period of approximately 3.92 years.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 granted to directors under the plans generally vest over one year. The number of shares issued on the date the RSUs vest is net of the minimum statutory tax withholdings, which are paid in cash to the appropriate taxing authorities. We recognize the stock-based compensation expense over the requisite service period of the individual grantees, which generally equals the vesting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RSU activity during the six months ended June 2026:</w:t>
      </w:r>
    </w:p>
    <w:p>
      <w:pPr>
        <w:pStyle w:val="TextBody"/>
        <w:bidi w:val="0"/>
        <w:spacing w:before="0" w:after="0"/>
        <w:ind w:left="0" w:right="0" w:hanging="0"/>
        <w:jc w:val="both"/>
        <w:rPr>
          <w:caps w:val="false"/>
          <w:smallCaps w:val="false"/>
        </w:rPr>
      </w:pPr>
      <w:r>
        <w:rPr>
          <w:caps w:val="false"/>
          <w:smallCaps w:val="false"/>
        </w:rPr>
        <w:t> </w:t>
      </w:r>
    </w:p>
    <w:tbl>
      <w:tblPr>
        <w:tblW w:w="8309" w:type="dxa"/>
        <w:jc w:val="left"/>
        <w:tblInd w:w="0" w:type="dxa"/>
        <w:tblLayout w:type="fixed"/>
        <w:tblCellMar>
          <w:top w:w="0" w:type="dxa"/>
          <w:left w:w="0" w:type="dxa"/>
          <w:bottom w:w="0" w:type="dxa"/>
          <w:right w:w="0" w:type="dxa"/>
        </w:tblCellMar>
      </w:tblPr>
      <w:tblGrid>
        <w:gridCol w:w="5000"/>
        <w:gridCol w:w="60"/>
        <w:gridCol w:w="90"/>
        <w:gridCol w:w="1039"/>
        <w:gridCol w:w="60"/>
        <w:gridCol w:w="60"/>
        <w:gridCol w:w="385"/>
        <w:gridCol w:w="1540"/>
        <w:gridCol w:w="75"/>
      </w:tblGrid>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Weighted-Average</w:t>
              <w:br/>
              <w:t>Grant-Date Fair</w:t>
              <w:br/>
              <w:t>Value Per Share</w:t>
            </w:r>
          </w:p>
        </w:tc>
        <w:tc>
          <w:tcPr>
            <w:tcW w:w="75"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Unvested restricted stock units as of January 1, 2026</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540" w:type="dxa"/>
            <w:tcBorders/>
            <w:shd w:fill="CCEEFF" w:val="clear"/>
            <w:vAlign w:val="center"/>
          </w:tcPr>
          <w:p>
            <w:pPr>
              <w:pStyle w:val="TableContents"/>
              <w:bidi w:val="0"/>
              <w:spacing w:before="0" w:after="283"/>
              <w:jc w:val="right"/>
              <w:rPr/>
            </w:pPr>
            <w:r>
              <w:rPr/>
              <w:t>10.00</w:t>
            </w:r>
          </w:p>
        </w:tc>
        <w:tc>
          <w:tcPr>
            <w:tcW w:w="75"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21,882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4.57</w:t>
            </w:r>
          </w:p>
        </w:tc>
        <w:tc>
          <w:tcPr>
            <w:tcW w:w="75"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Unvested restricted stock units as of June 30, 2026</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double" w:sz="10" w:space="0" w:color="000000"/>
            </w:tcBorders>
            <w:shd w:fill="CCEEFF" w:val="clear"/>
            <w:tcMar>
              <w:bottom w:w="28" w:type="dxa"/>
            </w:tcMar>
            <w:vAlign w:val="center"/>
          </w:tcPr>
          <w:p>
            <w:pPr>
              <w:pStyle w:val="TableContents"/>
              <w:bidi w:val="0"/>
              <w:spacing w:before="0" w:after="283"/>
              <w:jc w:val="right"/>
              <w:rPr/>
            </w:pPr>
            <w:r>
              <w:rPr/>
              <w:t>61,882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40" w:type="dxa"/>
            <w:tcBorders>
              <w:bottom w:val="double" w:sz="10" w:space="0" w:color="000000"/>
            </w:tcBorders>
            <w:shd w:fill="CCEEFF" w:val="clear"/>
            <w:tcMar>
              <w:bottom w:w="28" w:type="dxa"/>
            </w:tcMar>
            <w:vAlign w:val="center"/>
          </w:tcPr>
          <w:p>
            <w:pPr>
              <w:pStyle w:val="TableContents"/>
              <w:bidi w:val="0"/>
              <w:spacing w:before="0" w:after="283"/>
              <w:jc w:val="right"/>
              <w:rPr/>
            </w:pPr>
            <w:r>
              <w:rPr/>
              <w:t>8.08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Cumulative grant date fair value of RSUs granted during the six months ended June 30, 2026 and 2025 is approximately $0.1 million and $0,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unrecognized stock-based compensation expense related to RSUs was approximately $0.15 million. The unrecognized stock-based compensation expense is estimated to be recognized over a period of 0.5 years from June 30, 2026. No RSUs vested during the six months ended June 30, 2026 and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was classified in the condensed consolidated statements of operations as follows:</w:t>
      </w:r>
    </w:p>
    <w:p>
      <w:pPr>
        <w:pStyle w:val="TextBody"/>
        <w:bidi w:val="0"/>
        <w:spacing w:before="0" w:after="0"/>
        <w:ind w:left="0" w:right="0" w:hanging="0"/>
        <w:jc w:val="both"/>
        <w:rPr>
          <w:caps w:val="false"/>
          <w:smallCaps w:val="false"/>
        </w:rPr>
      </w:pPr>
      <w:r>
        <w:rPr>
          <w:caps w:val="false"/>
          <w:smallCaps w:val="false"/>
        </w:rPr>
        <w:t> </w:t>
      </w:r>
    </w:p>
    <w:tbl>
      <w:tblPr>
        <w:tblW w:w="7872" w:type="dxa"/>
        <w:jc w:val="left"/>
        <w:tblInd w:w="0" w:type="dxa"/>
        <w:tblLayout w:type="fixed"/>
        <w:tblCellMar>
          <w:top w:w="0" w:type="dxa"/>
          <w:left w:w="0" w:type="dxa"/>
          <w:bottom w:w="0" w:type="dxa"/>
          <w:right w:w="0" w:type="dxa"/>
        </w:tblCellMar>
      </w:tblPr>
      <w:tblGrid>
        <w:gridCol w:w="3410"/>
        <w:gridCol w:w="60"/>
        <w:gridCol w:w="164"/>
        <w:gridCol w:w="940"/>
        <w:gridCol w:w="70"/>
        <w:gridCol w:w="70"/>
        <w:gridCol w:w="164"/>
        <w:gridCol w:w="799"/>
        <w:gridCol w:w="60"/>
        <w:gridCol w:w="60"/>
        <w:gridCol w:w="140"/>
        <w:gridCol w:w="800"/>
        <w:gridCol w:w="60"/>
        <w:gridCol w:w="60"/>
        <w:gridCol w:w="140"/>
        <w:gridCol w:w="800"/>
        <w:gridCol w:w="75"/>
      </w:tblGrid>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General and administrative expense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411,135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799" w:type="dxa"/>
            <w:tcBorders/>
            <w:shd w:fill="CCEEFF" w:val="clear"/>
            <w:vAlign w:val="center"/>
          </w:tcPr>
          <w:p>
            <w:pPr>
              <w:pStyle w:val="TableContents"/>
              <w:bidi w:val="0"/>
              <w:spacing w:before="0" w:after="283"/>
              <w:jc w:val="right"/>
              <w:rPr/>
            </w:pPr>
            <w:r>
              <w:rPr/>
              <w:t>47,293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691,967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123,781</w:t>
            </w:r>
          </w:p>
        </w:tc>
        <w:tc>
          <w:tcPr>
            <w:tcW w:w="75"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Research and development expense</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pPr>
            <w:r>
              <w:rPr/>
              <w:t>8,096</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8,096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0" w:type="dxa"/>
            <w:tcBorders>
              <w:bottom w:val="double" w:sz="10" w:space="0" w:color="000000"/>
            </w:tcBorders>
            <w:shd w:fill="CCEEFF" w:val="clear"/>
            <w:tcMar>
              <w:bottom w:w="28" w:type="dxa"/>
            </w:tcMar>
            <w:vAlign w:val="center"/>
          </w:tcPr>
          <w:p>
            <w:pPr>
              <w:pStyle w:val="TableContents"/>
              <w:bidi w:val="0"/>
              <w:spacing w:before="0" w:after="283"/>
              <w:jc w:val="right"/>
              <w:rPr/>
            </w:pPr>
            <w:r>
              <w:rPr/>
              <w:t>419,231</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99" w:type="dxa"/>
            <w:tcBorders>
              <w:bottom w:val="double" w:sz="10" w:space="0" w:color="000000"/>
            </w:tcBorders>
            <w:shd w:fill="CCEEFF" w:val="clear"/>
            <w:tcMar>
              <w:bottom w:w="28" w:type="dxa"/>
            </w:tcMar>
            <w:vAlign w:val="center"/>
          </w:tcPr>
          <w:p>
            <w:pPr>
              <w:pStyle w:val="TableContents"/>
              <w:bidi w:val="0"/>
              <w:spacing w:before="0" w:after="283"/>
              <w:jc w:val="right"/>
              <w:rPr/>
            </w:pPr>
            <w:r>
              <w:rPr/>
              <w:t>47,293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700,063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123,781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10" w:type="dxa"/>
        <w:jc w:val="left"/>
        <w:tblInd w:w="0" w:type="dxa"/>
        <w:tblLayout w:type="fixed"/>
        <w:tblCellMar>
          <w:top w:w="0" w:type="dxa"/>
          <w:left w:w="0" w:type="dxa"/>
          <w:bottom w:w="0" w:type="dxa"/>
          <w:right w:w="0" w:type="dxa"/>
        </w:tblCellMar>
      </w:tblPr>
      <w:tblGrid>
        <w:gridCol w:w="185"/>
        <w:gridCol w:w="42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4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Debt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Avenue Capital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(the “Closing Date”), we entered into a Loan and Security Agreement (the “Loan and Security Agreement”) and a Supplement to the Loan and Security Agreement (together with the Loan and Security Agreement, the “Loan Agreement”), with Avenue Venture Opportunities Fund II, L.P., as administrative agent and collateral agent (the “Agent”) and Avenue Venture Opportunities Fund II, L.P., as lender (the “Lender”, together with Agent, “Avenue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Loan Agreement makes available to us term loans in an aggregate principal amount of up to $25.0 million with (i) $7.0 million funded on March 24, 2026 (“Tranche 1”), (ii) up to $8.0 million to be made available to us between September 1, 2026 and March 31, 2027, subject to (a) dosing of first patients in a Phase 3 trial of Onychomycosis, (b) raising $10.0 million via equity financing and (c) positive data in our ongoing Phase 2 clinical study of GX-03 for moderate-severe atopic dermatitis (“Tranche 2”). The Lender may make additional term loans of up to an additional $10.0 million (the “Discretionary Tranche 3” and collectively with Tranche 1, and Tranche 2, the “Loans”), to be funded between January 1, 2027 and June 30, 2028, subject to, among other things, (i) that we have drawn the full amount of Tranche 2, (ii) our achievement of a certain clinical milestone and (iii) the mutual written agreement between us and the Lender (upon the Lender’s investment committee approval).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Loans bear interest at an annual rate equal to the greater of (x) the sum of 5.50% plus the prime rate as reported in The Wall Street Journal and (y) 12.25%. The Loans are secured by a lien upon and security interest in all of our assets, including intellectual property, subject to agreed exceptions. The loan matures on 42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month anniversary of the Closing Date (the “Maturity Date”). The Loan Agreement does not contain any minimum cash requirement or other financial covenants. </w:t>
      </w:r>
    </w:p>
    <w:p>
      <w:pPr>
        <w:pStyle w:val="TextBody"/>
        <w:bidi w:val="0"/>
        <w:spacing w:before="0" w:after="0"/>
        <w:ind w:left="0" w:right="0" w:hanging="0"/>
        <w:jc w:val="both"/>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make interest-only payments on the Loans until the 15-month anniversary of the Closing Date, subject to (i) a 9-month extension, so long as Tranche 2 has been funded and (ii) an additional 6-month extension if we achieve the Discretionary Tranche 3 milestone. The Loan principal is repayable in equal monthly installments from the end of the interest-only period to the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at our option at any time, prepay the Loans in their entirety by paying the then-outstanding principal balance and all accrued and unpaid interest on the Loans, subject to a prepayment fee equal to (i) 3.0% of the principal amount outstanding if the prepayment occurs on or prior to the first anniversary following the Closing Date, (ii) 2.0% of the principal amount outstanding if the prepayment occurs after the first anniversary following the Closing Date, but on or prior to the second anniversary following the Closing Date, and (iii) 1.0% of the principal amount outstanding if the prepayment occurs after the second anniversary following the Closing Date. We will pay a final payment of 3.75% (“Final Payment Fee”) of the amount funded and outstanding on the earlier of (x) the Maturity Date and (y) the date that we prepay all of the outstanding principal amount of the Loans in full.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Closing Date, we paid the Lender a commitment fee of $0.15 million. On the Closing Date, we also issued 342,857 shares of our common stock at no cost to the Lender, which represent 8.00% of the Tranche 1 and Tranche 2 amounts. The price per share was determined using the 5-day volume-weighted average price calculated on the day prior to the Closing Date. If we draw the Discretionary Tranche 3, we will issue further shares to the Lender at no cost equal to 8.00% of the $10.0 million (amount of the Discretionary Tranche 3) at the 5-day volume-weighted average price calculated on the day prior to funding of Discretionary Tranche 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contains customary representations, warranties and covenants, including covenants by us limiting, among other things, additional indebtedness, liens, guaranties, mergers and consolidations, substantial asset sales, investments and loans, certain corporate changes, transactions with affiliates and fundamental changes. The Loan Agreement provides for events of default customary for term loans of this type, including but not limited to non-payment, breaches or defaults in the performance of covenants, insolvency, bankruptcy and the occurrence of a material adverse effect on the Company. After the occurrence of an event of default, the Agent may (i) accelerate payment of all obligations, impose an increased rate of interest, and terminate the Lender’s commitments under the Loan Agreement and (ii) exercise any other right or remedy provided by contract or applicable law including a foreclosure on our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Loan Agreement, the Lender will have the right to convert initially up to $2.0 million of the outstanding principal of the Loans (the “Conversion Option”) at a price per share equal to 80% of the trading price on the date of conversion, subject to certain terms and conditions, including beneficial ownership limitations. Upon draw-down of Tranche 2, the Conversion Option will be increased by $1.0 million. The Conversion Option shall terminate on the loan payoff.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subject to applicable law, the Lender may participate in certain equity financing transactions in an aggregate amount of up to $1.0 million on the same terms, conditions and pricing offered by us to other investors participating in such financing transaction (such right, the “Participation Right”). The Participation Right terminates upon the earlier of the Maturity Date and the repayment in full of all of the obligations under the Loan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Closing Date, we recorded the following discounts:</w:t>
      </w:r>
    </w:p>
    <w:p>
      <w:pPr>
        <w:pStyle w:val="TextBody"/>
        <w:bidi w:val="0"/>
        <w:spacing w:before="0" w:after="0"/>
        <w:ind w:left="0" w:right="0" w:hanging="0"/>
        <w:jc w:val="both"/>
        <w:rPr>
          <w:caps w:val="false"/>
          <w:smallCaps w:val="false"/>
        </w:rPr>
      </w:pPr>
      <w:r>
        <w:rPr>
          <w:caps w:val="false"/>
          <w:smallCaps w:val="false"/>
        </w:rPr>
        <w:t> </w:t>
      </w:r>
    </w:p>
    <w:tbl>
      <w:tblPr>
        <w:tblW w:w="8340" w:type="dxa"/>
        <w:jc w:val="left"/>
        <w:tblInd w:w="0" w:type="dxa"/>
        <w:tblLayout w:type="fixed"/>
        <w:tblCellMar>
          <w:top w:w="0" w:type="dxa"/>
          <w:left w:w="0" w:type="dxa"/>
          <w:bottom w:w="0" w:type="dxa"/>
          <w:right w:w="0" w:type="dxa"/>
        </w:tblCellMar>
      </w:tblPr>
      <w:tblGrid>
        <w:gridCol w:w="7085"/>
        <w:gridCol w:w="60"/>
        <w:gridCol w:w="140"/>
        <w:gridCol w:w="980"/>
        <w:gridCol w:w="75"/>
      </w:tblGrid>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Equity grant of 342,857 shares of common stock – pro-rated for Tranche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490,451</w:t>
            </w:r>
          </w:p>
        </w:tc>
        <w:tc>
          <w:tcPr>
            <w:tcW w:w="75"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Commitment fee @ 1.00% of Tranche 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70,000</w:t>
            </w:r>
          </w:p>
        </w:tc>
        <w:tc>
          <w:tcPr>
            <w:tcW w:w="75"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Debt issuance costs – pro-rated for Tranche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66,412</w:t>
            </w:r>
          </w:p>
        </w:tc>
        <w:tc>
          <w:tcPr>
            <w:tcW w:w="75"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Fair value of Conversion Option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436,622</w:t>
            </w:r>
          </w:p>
        </w:tc>
        <w:tc>
          <w:tcPr>
            <w:tcW w:w="75"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Present value of Final Payment Fee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174,571</w:t>
            </w:r>
          </w:p>
        </w:tc>
        <w:tc>
          <w:tcPr>
            <w:tcW w:w="75"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Total discounts recorded at inception of Avenue Capital Loan Agreement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1,238,056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amortize debt discount as interest expense using the interest method through the maturity date. We accrete the Final Payment Fee as interest expense using the interest method through the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long-term debt, without giving consideration to the extendable interest-only period, consists of the following:</w:t>
      </w:r>
    </w:p>
    <w:p>
      <w:pPr>
        <w:pStyle w:val="TextBody"/>
        <w:bidi w:val="0"/>
        <w:spacing w:before="0" w:after="0"/>
        <w:ind w:left="0" w:right="0" w:hanging="0"/>
        <w:jc w:val="both"/>
        <w:rPr>
          <w:caps w:val="false"/>
          <w:smallCaps w:val="false"/>
        </w:rPr>
      </w:pPr>
      <w:r>
        <w:rPr>
          <w:caps w:val="false"/>
          <w:smallCaps w:val="false"/>
        </w:rPr>
        <w:t> </w:t>
      </w:r>
    </w:p>
    <w:tbl>
      <w:tblPr>
        <w:tblW w:w="6185" w:type="dxa"/>
        <w:jc w:val="left"/>
        <w:tblInd w:w="0" w:type="dxa"/>
        <w:tblLayout w:type="fixed"/>
        <w:tblCellMar>
          <w:top w:w="0" w:type="dxa"/>
          <w:left w:w="0" w:type="dxa"/>
          <w:bottom w:w="0" w:type="dxa"/>
          <w:right w:w="0" w:type="dxa"/>
        </w:tblCellMar>
      </w:tblPr>
      <w:tblGrid>
        <w:gridCol w:w="4820"/>
        <w:gridCol w:w="60"/>
        <w:gridCol w:w="140"/>
        <w:gridCol w:w="1055"/>
        <w:gridCol w:w="110"/>
      </w:tblGrid>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283"/>
              <w:jc w:val="left"/>
              <w:rPr/>
            </w:pPr>
            <w:r>
              <w:rPr/>
              <w:t>Gross Principal Amount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7,000,000</w:t>
            </w:r>
          </w:p>
        </w:tc>
        <w:tc>
          <w:tcPr>
            <w:tcW w:w="110"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283"/>
              <w:jc w:val="left"/>
              <w:rPr/>
            </w:pPr>
            <w:r>
              <w:rPr/>
              <w:t>Add: gross Final Payment Fee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262,500</w:t>
            </w:r>
          </w:p>
        </w:tc>
        <w:tc>
          <w:tcPr>
            <w:tcW w:w="110"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283"/>
              <w:jc w:val="left"/>
              <w:rPr/>
            </w:pPr>
            <w:r>
              <w:rPr/>
              <w:t>Less: unamortized debt discount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(1,118,575</w:t>
            </w:r>
          </w:p>
        </w:tc>
        <w:tc>
          <w:tcPr>
            <w:tcW w:w="110" w:type="dxa"/>
            <w:tcBorders/>
            <w:shd w:fill="CCEEFF" w:val="clear"/>
            <w:vAlign w:val="center"/>
          </w:tcPr>
          <w:p>
            <w:pPr>
              <w:pStyle w:val="TableContents"/>
              <w:bidi w:val="0"/>
              <w:spacing w:before="0" w:after="283"/>
              <w:jc w:val="left"/>
              <w:rPr/>
            </w:pPr>
            <w:r>
              <w:rPr/>
              <w:t>)</w:t>
            </w:r>
          </w:p>
        </w:tc>
      </w:tr>
      <w:tr>
        <w:trPr/>
        <w:tc>
          <w:tcPr>
            <w:tcW w:w="4820" w:type="dxa"/>
            <w:tcBorders/>
            <w:shd w:fill="FFFFFF" w:val="clear"/>
            <w:vAlign w:val="center"/>
          </w:tcPr>
          <w:p>
            <w:pPr>
              <w:pStyle w:val="TableContents"/>
              <w:bidi w:val="0"/>
              <w:spacing w:before="0" w:after="283"/>
              <w:jc w:val="left"/>
              <w:rPr/>
            </w:pPr>
            <w:r>
              <w:rPr/>
              <w:t>Less: present value discount on Final Payment Fee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(80,931</w:t>
            </w:r>
          </w:p>
        </w:tc>
        <w:tc>
          <w:tcPr>
            <w:tcW w:w="110" w:type="dxa"/>
            <w:tcBorders/>
            <w:shd w:fill="FFFFFF" w:val="clear"/>
            <w:vAlign w:val="center"/>
          </w:tcPr>
          <w:p>
            <w:pPr>
              <w:pStyle w:val="TableContents"/>
              <w:bidi w:val="0"/>
              <w:spacing w:before="0" w:after="283"/>
              <w:jc w:val="left"/>
              <w:rPr/>
            </w:pPr>
            <w:r>
              <w:rPr/>
              <w:t>)</w:t>
            </w:r>
          </w:p>
        </w:tc>
      </w:tr>
      <w:tr>
        <w:trPr/>
        <w:tc>
          <w:tcPr>
            <w:tcW w:w="4820" w:type="dxa"/>
            <w:tcBorders/>
            <w:shd w:fill="CCEEFF" w:val="clear"/>
            <w:vAlign w:val="center"/>
          </w:tcPr>
          <w:p>
            <w:pPr>
              <w:pStyle w:val="TableContents"/>
              <w:bidi w:val="0"/>
              <w:spacing w:before="0" w:after="283"/>
              <w:jc w:val="left"/>
              <w:rPr/>
            </w:pPr>
            <w:r>
              <w:rPr/>
              <w:t>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6,062,994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without giving consideration to the extendable interest-only period, principal payments of long-term debt are as follows:</w:t>
      </w:r>
    </w:p>
    <w:p>
      <w:pPr>
        <w:pStyle w:val="TextBody"/>
        <w:bidi w:val="0"/>
        <w:spacing w:before="0" w:after="0"/>
        <w:ind w:left="0" w:right="0" w:hanging="0"/>
        <w:jc w:val="both"/>
        <w:rPr>
          <w:caps w:val="false"/>
          <w:smallCaps w:val="false"/>
        </w:rPr>
      </w:pPr>
      <w:r>
        <w:rPr>
          <w:caps w:val="false"/>
          <w:smallCaps w:val="false"/>
        </w:rPr>
        <w:t> </w:t>
      </w:r>
    </w:p>
    <w:tbl>
      <w:tblPr>
        <w:tblW w:w="1785" w:type="dxa"/>
        <w:jc w:val="left"/>
        <w:tblInd w:w="0" w:type="dxa"/>
        <w:tblLayout w:type="fixed"/>
        <w:tblCellMar>
          <w:top w:w="0" w:type="dxa"/>
          <w:left w:w="0" w:type="dxa"/>
          <w:bottom w:w="0" w:type="dxa"/>
          <w:right w:w="0" w:type="dxa"/>
        </w:tblCellMar>
      </w:tblPr>
      <w:tblGrid>
        <w:gridCol w:w="530"/>
        <w:gridCol w:w="60"/>
        <w:gridCol w:w="140"/>
        <w:gridCol w:w="980"/>
        <w:gridCol w:w="75"/>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530"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3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1,296,296</w:t>
            </w:r>
          </w:p>
        </w:tc>
        <w:tc>
          <w:tcPr>
            <w:tcW w:w="75" w:type="dxa"/>
            <w:tcBorders/>
            <w:shd w:fill="FFFFFF" w:val="clear"/>
            <w:vAlign w:val="center"/>
          </w:tcPr>
          <w:p>
            <w:pPr>
              <w:pStyle w:val="TableContents"/>
              <w:bidi w:val="0"/>
              <w:spacing w:before="0" w:after="283"/>
              <w:jc w:val="left"/>
              <w:rPr/>
            </w:pPr>
            <w:r>
              <w:rPr/>
              <w:t> </w:t>
            </w:r>
          </w:p>
        </w:tc>
      </w:tr>
      <w:tr>
        <w:trPr/>
        <w:tc>
          <w:tcPr>
            <w:tcW w:w="530"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3,111,111</w:t>
            </w:r>
          </w:p>
        </w:tc>
        <w:tc>
          <w:tcPr>
            <w:tcW w:w="75" w:type="dxa"/>
            <w:tcBorders/>
            <w:shd w:fill="CCEEFF" w:val="clear"/>
            <w:vAlign w:val="center"/>
          </w:tcPr>
          <w:p>
            <w:pPr>
              <w:pStyle w:val="TableContents"/>
              <w:bidi w:val="0"/>
              <w:spacing w:before="0" w:after="283"/>
              <w:jc w:val="left"/>
              <w:rPr/>
            </w:pPr>
            <w:r>
              <w:rPr/>
              <w:t> </w:t>
            </w:r>
          </w:p>
        </w:tc>
      </w:tr>
      <w:tr>
        <w:trPr/>
        <w:tc>
          <w:tcPr>
            <w:tcW w:w="530"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2,855,093</w:t>
            </w:r>
          </w:p>
        </w:tc>
        <w:tc>
          <w:tcPr>
            <w:tcW w:w="75" w:type="dxa"/>
            <w:tcBorders/>
            <w:shd w:fill="FFFFFF" w:val="clear"/>
            <w:vAlign w:val="center"/>
          </w:tcPr>
          <w:p>
            <w:pPr>
              <w:pStyle w:val="TableContents"/>
              <w:bidi w:val="0"/>
              <w:spacing w:before="0" w:after="283"/>
              <w:jc w:val="left"/>
              <w:rPr/>
            </w:pPr>
            <w:r>
              <w:rPr/>
              <w:t> </w:t>
            </w:r>
          </w:p>
        </w:tc>
      </w:tr>
      <w:tr>
        <w:trPr/>
        <w:tc>
          <w:tcPr>
            <w:tcW w:w="53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7,262,500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185"/>
        <w:gridCol w:w="153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15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no current or deferred federal and state income tax expense or benefit for the periods presented because we generated net operating losses, and currently we do not believe it is more likely than not that the net operating losses will be realized and as a result, we have recorded full valuation allowance for the periods presented.</w:t>
      </w:r>
    </w:p>
    <w:p>
      <w:pPr>
        <w:pStyle w:val="TextBody"/>
        <w:bidi w:val="0"/>
        <w:spacing w:before="0" w:after="0"/>
        <w:ind w:left="0" w:right="0" w:hanging="0"/>
        <w:jc w:val="both"/>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290"/>
        <w:gridCol w:w="669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66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NET LOSS PER SHARE ATTRIBUTABLE TO COMMON STOCKHOLDERS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was calculated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95"/>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b/>
              </w:rPr>
            </w:pPr>
            <w:r>
              <w:rPr>
                <w:b/>
              </w:rPr>
              <w:t>Numerator:</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0"/>
              <w:jc w:val="left"/>
              <w:rPr/>
            </w:pPr>
            <w:r>
              <w:rPr/>
              <w:t> </w:t>
            </w:r>
          </w:p>
        </w:tc>
      </w:tr>
      <w:tr>
        <w:trPr/>
        <w:tc>
          <w:tcPr>
            <w:tcW w:w="4610"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(5,849,734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(1,240,415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(6,820,865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(1,568,972</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4610"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610" w:type="dxa"/>
            <w:tcBorders/>
            <w:shd w:fill="CCEEFF" w:val="clear"/>
            <w:vAlign w:val="center"/>
          </w:tcPr>
          <w:p>
            <w:pPr>
              <w:pStyle w:val="TableContents"/>
              <w:bidi w:val="0"/>
              <w:spacing w:before="0" w:after="283"/>
              <w:jc w:val="left"/>
              <w:rPr/>
            </w:pPr>
            <w:r>
              <w:rPr/>
              <w:t>Weighted-average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29,788,040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27,494,483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29,633,755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27,227,013</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610" w:type="dxa"/>
            <w:tcBorders/>
            <w:shd w:fill="FFFFFF" w:val="clear"/>
            <w:vAlign w:val="center"/>
          </w:tcPr>
          <w:p>
            <w:pPr>
              <w:pStyle w:val="TableContents"/>
              <w:bidi w:val="0"/>
              <w:spacing w:before="0" w:after="283"/>
              <w:jc w:val="left"/>
              <w:rPr/>
            </w:pPr>
            <w:r>
              <w:rPr/>
              <w:t>Net loss per share attributable to common stockholders,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(0.06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potentially dilutive securities, which include or have included outstanding stock options and certain warrants, have been excluded from the computation of diluted net loss per share as the effect would be to reduce the net loss per share. Therefore, the weighted-average number of shares of common stock outstanding used to calculate both basic and diluted net loss per share attributable to common stockholders is the same.</w:t>
      </w:r>
    </w:p>
    <w:p>
      <w:pPr>
        <w:pStyle w:val="TextBody"/>
        <w:bidi w:val="0"/>
        <w:spacing w:before="0" w:after="0"/>
        <w:ind w:left="0" w:right="0" w:hanging="0"/>
        <w:jc w:val="both"/>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excluded the following from the computation of diluted net loss per share attributable to common stockholders because including them would have had an anti-dilutive effect: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70"/>
        <w:gridCol w:w="60"/>
        <w:gridCol w:w="60"/>
        <w:gridCol w:w="980"/>
        <w:gridCol w:w="60"/>
        <w:gridCol w:w="60"/>
        <w:gridCol w:w="60"/>
        <w:gridCol w:w="980"/>
        <w:gridCol w:w="75"/>
      </w:tblGrid>
      <w:tr>
        <w:trPr/>
        <w:tc>
          <w:tcPr>
            <w:tcW w:w="787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ind w:left="0" w:right="0" w:hanging="0"/>
              <w:jc w:val="center"/>
              <w:rPr>
                <w:b/>
              </w:rPr>
            </w:pPr>
            <w:r>
              <w:rPr>
                <w:b/>
              </w:rPr>
              <w:t>As at June 30,</w:t>
            </w:r>
          </w:p>
        </w:tc>
        <w:tc>
          <w:tcPr>
            <w:tcW w:w="75" w:type="dxa"/>
            <w:tcBorders/>
            <w:vAlign w:val="center"/>
          </w:tcPr>
          <w:p>
            <w:pPr>
              <w:pStyle w:val="TableContents"/>
              <w:bidi w:val="0"/>
              <w:spacing w:before="0" w:after="283"/>
              <w:ind w:left="0" w:right="0" w:hanging="180"/>
              <w:jc w:val="left"/>
              <w:rPr/>
            </w:pPr>
            <w:r>
              <w:rPr/>
              <w:t> </w:t>
            </w:r>
          </w:p>
        </w:tc>
      </w:tr>
      <w:tr>
        <w:trPr/>
        <w:tc>
          <w:tcPr>
            <w:tcW w:w="787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ind w:left="0" w:right="0" w:hanging="0"/>
              <w:jc w:val="center"/>
              <w:rPr>
                <w:b/>
              </w:rPr>
            </w:pPr>
            <w:r>
              <w:rPr>
                <w:b/>
              </w:rPr>
              <w:t>2026</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ind w:left="0" w:right="0" w:hanging="0"/>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7870" w:type="dxa"/>
            <w:tcBorders/>
            <w:shd w:fill="CCEEFF" w:val="clear"/>
            <w:vAlign w:val="center"/>
          </w:tcPr>
          <w:p>
            <w:pPr>
              <w:pStyle w:val="TableContents"/>
              <w:bidi w:val="0"/>
              <w:spacing w:before="0" w:after="283"/>
              <w:ind w:left="0" w:right="0" w:hanging="0"/>
              <w:jc w:val="left"/>
              <w:rPr/>
            </w:pPr>
            <w:r>
              <w:rPr/>
              <w:t>Outstanding options under the Amended and Restated 2018 Stock Option Plan, 2024 Stock Option Plan and 2025 Omnibus Incentive Plan</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2,709,168</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1,742,214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870" w:type="dxa"/>
            <w:tcBorders/>
            <w:shd w:fill="FFFFFF" w:val="clear"/>
            <w:vAlign w:val="center"/>
          </w:tcPr>
          <w:p>
            <w:pPr>
              <w:pStyle w:val="TableContents"/>
              <w:bidi w:val="0"/>
              <w:spacing w:before="0" w:after="283"/>
              <w:ind w:left="0" w:right="0" w:hanging="0"/>
              <w:jc w:val="left"/>
              <w:rPr/>
            </w:pPr>
            <w:r>
              <w:rPr/>
              <w:t>Outstanding RSUs under the 2025 Omnibus Incentive Plan</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61,882</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870" w:type="dxa"/>
            <w:tcBorders/>
            <w:shd w:fill="CCEEFF" w:val="clear"/>
            <w:vAlign w:val="center"/>
          </w:tcPr>
          <w:p>
            <w:pPr>
              <w:pStyle w:val="TableContents"/>
              <w:bidi w:val="0"/>
              <w:spacing w:before="0" w:after="283"/>
              <w:ind w:left="0" w:right="0" w:hanging="0"/>
              <w:jc w:val="left"/>
              <w:rPr/>
            </w:pPr>
            <w:r>
              <w:rPr/>
              <w:t>Outstanding warrants</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ind w:left="0" w:right="0" w:hanging="0"/>
              <w:jc w:val="right"/>
              <w:rPr/>
            </w:pPr>
            <w:r>
              <w:rPr/>
              <w:t>1,232,331</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ind w:left="0" w:right="0" w:hanging="0"/>
              <w:jc w:val="right"/>
              <w:rPr/>
            </w:pPr>
            <w:r>
              <w:rPr/>
              <w:t>40,124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87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ind w:left="0" w:right="0" w:hanging="0"/>
              <w:jc w:val="right"/>
              <w:rPr/>
            </w:pPr>
            <w:r>
              <w:rPr/>
              <w:t>4,003,381</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ind w:left="0" w:right="0" w:hanging="0"/>
              <w:jc w:val="right"/>
              <w:rPr/>
            </w:pPr>
            <w:r>
              <w:rPr/>
              <w:t>1,782,338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290"/>
        <w:gridCol w:w="716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71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COMMITMENTS, CONTINGENCIES, GUARANTEES AND INDEMNIFICATIONS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contracts in the normal course of business with contract research organizations (“CROs”), contract manufacturing organizations (“CMOs”), academic institutions and other third parties for preclinical and clinical research studies, testing and manufacturing services. These contracts generally do not contain minimum purchase commitments and are cancellable by us upon prior written notice, although purchase orders for preclinical materials are generally non-cancellable or have cancellation penalties. Payments due upon cancellation consist primarily of payments for services provided or expenses incurred, including non-cancellable obligations from our service providers, up to the date of cancellation or upon the completion of a manufacturing run.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 and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party to litigation, arbitration, claims or other legal proceedings in the course of our business. The outcome of any such legal proceedings, regardless of the merits, is inherently uncertain. In addition, litigation and related matters are costly and may divert the attention of our management and other resources that would otherwise be engaged in other activities. If we were unable to prevail in any such legal proceedings, our business, results of operations, liquidity, and financial condition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indemnification agreements with our officers and directors that require us to indemnify such individuals for certain events or occurrences while each such officer or director is, or was, serving at our request in such capacity. The maximum potential future payments we could be required to make is, in many cases, unlimited. We have directors’ and officers’ liability insurance coverage that limits its exposure and enables us to recover a portion of any future amounts to be paid.</w:t>
      </w:r>
    </w:p>
    <w:p>
      <w:pPr>
        <w:pStyle w:val="TextBody"/>
        <w:bidi w:val="0"/>
        <w:spacing w:before="0" w:after="0"/>
        <w:ind w:left="0" w:right="0" w:hanging="0"/>
        <w:jc w:val="both"/>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90"/>
        <w:gridCol w:w="222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22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SEGMENT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CODM is our Chief Executive Officer. The CODM uses net loss, as reported on our condensed consolidated statements of operations, in evaluating performance and determining how to allocate resources. The CODM does not review assets in evaluating the results and therefore, such information is not presented.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segment expenses and income (loss):</w:t>
      </w:r>
    </w:p>
    <w:p>
      <w:pPr>
        <w:pStyle w:val="TextBody"/>
        <w:bidi w:val="0"/>
        <w:spacing w:before="0" w:after="0"/>
        <w:ind w:left="0" w:right="0" w:hanging="0"/>
        <w:jc w:val="both"/>
        <w:rPr>
          <w:caps w:val="false"/>
          <w:smallCaps w:val="false"/>
        </w:rPr>
      </w:pPr>
      <w:r>
        <w:rPr>
          <w:caps w:val="false"/>
          <w:smallCaps w:val="false"/>
        </w:rPr>
        <w:t> </w:t>
      </w:r>
    </w:p>
    <w:tbl>
      <w:tblPr>
        <w:tblW w:w="9680" w:type="dxa"/>
        <w:jc w:val="left"/>
        <w:tblInd w:w="0" w:type="dxa"/>
        <w:tblLayout w:type="fixed"/>
        <w:tblCellMar>
          <w:top w:w="0" w:type="dxa"/>
          <w:left w:w="0" w:type="dxa"/>
          <w:bottom w:w="0" w:type="dxa"/>
          <w:right w:w="0" w:type="dxa"/>
        </w:tblCellMar>
      </w:tblPr>
      <w:tblGrid>
        <w:gridCol w:w="4265"/>
        <w:gridCol w:w="60"/>
        <w:gridCol w:w="140"/>
        <w:gridCol w:w="1055"/>
        <w:gridCol w:w="95"/>
        <w:gridCol w:w="60"/>
        <w:gridCol w:w="140"/>
        <w:gridCol w:w="1055"/>
        <w:gridCol w:w="95"/>
        <w:gridCol w:w="60"/>
        <w:gridCol w:w="140"/>
        <w:gridCol w:w="1055"/>
        <w:gridCol w:w="95"/>
        <w:gridCol w:w="60"/>
        <w:gridCol w:w="140"/>
        <w:gridCol w:w="1055"/>
        <w:gridCol w:w="110"/>
      </w:tblGrid>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b/>
              </w:rPr>
            </w:pPr>
            <w:r>
              <w:rPr>
                <w:b/>
              </w:rPr>
              <w:t>Operating Expenses</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0"/>
              <w:jc w:val="left"/>
              <w:rPr/>
            </w:pPr>
            <w:r>
              <w:rPr/>
              <w:t> </w:t>
            </w:r>
          </w:p>
        </w:tc>
      </w:tr>
      <w:tr>
        <w:trPr/>
        <w:tc>
          <w:tcPr>
            <w:tcW w:w="4265" w:type="dxa"/>
            <w:tcBorders/>
            <w:shd w:fill="CCEEFF" w:val="clear"/>
            <w:vAlign w:val="center"/>
          </w:tcPr>
          <w:p>
            <w:pPr>
              <w:pStyle w:val="TableContents"/>
              <w:bidi w:val="0"/>
              <w:spacing w:before="0" w:after="283"/>
              <w:jc w:val="left"/>
              <w:rPr/>
            </w:pPr>
            <w:r>
              <w:rPr/>
              <w:t>Personnel-related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(735,222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(197,155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(1,282,131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(390,099</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4265" w:type="dxa"/>
            <w:tcBorders/>
            <w:shd w:fill="FFFFFF" w:val="clear"/>
            <w:vAlign w:val="center"/>
          </w:tcPr>
          <w:p>
            <w:pPr>
              <w:pStyle w:val="TableContents"/>
              <w:bidi w:val="0"/>
              <w:spacing w:before="0" w:after="283"/>
              <w:jc w:val="left"/>
              <w:rPr/>
            </w:pPr>
            <w:r>
              <w:rPr/>
              <w:t>External research and development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(423,459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(62,678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(532,893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(71,937</w:t>
            </w:r>
          </w:p>
        </w:tc>
        <w:tc>
          <w:tcPr>
            <w:tcW w:w="110" w:type="dxa"/>
            <w:tcBorders/>
            <w:shd w:fill="FFFFFF" w:val="clear"/>
            <w:vAlign w:val="center"/>
          </w:tcPr>
          <w:p>
            <w:pPr>
              <w:pStyle w:val="TableContents"/>
              <w:bidi w:val="0"/>
              <w:spacing w:before="0" w:after="283"/>
              <w:ind w:left="0" w:right="0" w:hanging="0"/>
              <w:jc w:val="left"/>
              <w:rPr/>
            </w:pPr>
            <w:r>
              <w:rPr/>
              <w:t>)</w:t>
            </w:r>
          </w:p>
        </w:tc>
      </w:tr>
      <w:tr>
        <w:trPr/>
        <w:tc>
          <w:tcPr>
            <w:tcW w:w="4265" w:type="dxa"/>
            <w:tcBorders/>
            <w:shd w:fill="CCEEFF" w:val="clear"/>
            <w:vAlign w:val="center"/>
          </w:tcPr>
          <w:p>
            <w:pPr>
              <w:pStyle w:val="TableContents"/>
              <w:bidi w:val="0"/>
              <w:spacing w:before="0" w:after="283"/>
              <w:jc w:val="left"/>
              <w:rPr/>
            </w:pPr>
            <w:r>
              <w:rPr/>
              <w:t>Legal, professional and consulting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(272,021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(997,864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(575,695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(1,067,729</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4265" w:type="dxa"/>
            <w:tcBorders/>
            <w:shd w:fill="FFFFFF" w:val="clear"/>
            <w:vAlign w:val="center"/>
          </w:tcPr>
          <w:p>
            <w:pPr>
              <w:pStyle w:val="TableContents"/>
              <w:bidi w:val="0"/>
              <w:spacing w:before="0" w:after="283"/>
              <w:jc w:val="left"/>
              <w:rPr/>
            </w:pPr>
            <w:r>
              <w:rPr/>
              <w:t>Corporate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(197,358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(108,827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(452,104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(221,763</w:t>
            </w:r>
          </w:p>
        </w:tc>
        <w:tc>
          <w:tcPr>
            <w:tcW w:w="110" w:type="dxa"/>
            <w:tcBorders/>
            <w:shd w:fill="FFFFFF" w:val="clear"/>
            <w:vAlign w:val="center"/>
          </w:tcPr>
          <w:p>
            <w:pPr>
              <w:pStyle w:val="TableContents"/>
              <w:bidi w:val="0"/>
              <w:spacing w:before="0" w:after="283"/>
              <w:ind w:left="0" w:right="0" w:hanging="0"/>
              <w:jc w:val="left"/>
              <w:rPr/>
            </w:pPr>
            <w:r>
              <w:rPr/>
              <w:t>)</w:t>
            </w:r>
          </w:p>
        </w:tc>
      </w:tr>
      <w:tr>
        <w:trPr/>
        <w:tc>
          <w:tcPr>
            <w:tcW w:w="4265" w:type="dxa"/>
            <w:tcBorders/>
            <w:shd w:fill="CCEEFF" w:val="clear"/>
            <w:vAlign w:val="center"/>
          </w:tcPr>
          <w:p>
            <w:pPr>
              <w:pStyle w:val="TableContents"/>
              <w:bidi w:val="0"/>
              <w:spacing w:before="0" w:after="283"/>
              <w:jc w:val="left"/>
              <w:rPr>
                <w:b/>
              </w:rPr>
            </w:pPr>
            <w:r>
              <w:rPr>
                <w:b/>
              </w:rPr>
              <w:t>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265" w:type="dxa"/>
            <w:tcBorders/>
            <w:shd w:fill="FFFFFF" w:val="clear"/>
            <w:vAlign w:val="center"/>
          </w:tcPr>
          <w:p>
            <w:pPr>
              <w:pStyle w:val="TableContents"/>
              <w:bidi w:val="0"/>
              <w:spacing w:before="0" w:after="283"/>
              <w:jc w:val="left"/>
              <w:rPr/>
            </w:pPr>
            <w:r>
              <w:rPr/>
              <w:t>Other segment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(4,221,674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126,109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(3,978,042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182,556</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265" w:type="dxa"/>
            <w:tcBorders/>
            <w:shd w:fill="CCEEFF" w:val="clear"/>
            <w:vAlign w:val="center"/>
          </w:tcPr>
          <w:p>
            <w:pPr>
              <w:pStyle w:val="TableContents"/>
              <w:bidi w:val="0"/>
              <w:spacing w:before="0" w:after="283"/>
              <w:jc w:val="left"/>
              <w:rPr/>
            </w:pPr>
            <w:r>
              <w:rPr/>
              <w:t>Segment 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(5,849,734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(1,240,415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(6,820,865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(1,568,972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income (expense) includes total other income (expense), net on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290"/>
        <w:gridCol w:w="324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32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 PARTY TRANSACTIONS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Company engaged Davis Polk &amp; Wardwell LLP (“Davis Polk”) to provide legal advisory services in connection with the Direct Listing. On September 30, 2025, Mr. Arthur Golden, a senior counsel at Davis Polk, joined the Company’s Board of Directors, establishing a related-party relationship between the Company and Davis Polk.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and 2025, the Company incurred legal expenses of $0 and $0.4 million, respectively, which were recognized in general and administrative expense in the statements of operations. During the six months ended June 30, 2026 and 2025, the Company made payments to Davis Polk of $0.3 million and $0, respectively. As of June 30, 2026 and December 31, 2025, amounts payable to Davis Polk for legal services were approximately $1.2 million and $1.5 million, respectively. </w:t>
      </w:r>
    </w:p>
    <w:p>
      <w:pPr>
        <w:pStyle w:val="TextBody"/>
        <w:bidi w:val="0"/>
        <w:spacing w:before="0" w:after="0"/>
        <w:ind w:left="0" w:right="0" w:hanging="0"/>
        <w:jc w:val="both"/>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w:t>
      </w:r>
      <w:r>
        <w:rPr>
          <w:rFonts w:ascii="Times New Roman;Times;Serif" w:hAnsi="Times New Roman;Times;Serif"/>
          <w:b w:val="false"/>
          <w:i/>
          <w:caps w:val="false"/>
          <w:smallCaps w:val="false"/>
          <w:sz w:val="20"/>
        </w:rPr>
        <w:t>should read the following discussion and analysis of our financial condition and results of operations together with our unaudited condensed financial statements and related notes and other financial information appearing elsewhere in this Quarterly Report and with our audited financial statements and related notes and other financial information appearing in our Annual Report on Form 10-K for the year ended December 31, 2025, filed with the U.S. Securities and Exchange Commission (the “SEC”) on March 31, 2026 (the “Annual Report”).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this Quarterly Report and our Annual Report, our actual results could differ materially from the results described in or implied by the forward-looking statements contained in the following discussion and analysis.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Turn Therapeutics is a clinical-stage biotechnology company developing targeted anti-inflammatory therapies for dermatologic conditions with high unmet needs. Turn’s lead investigational therapy, GX-03, is a potentially first-in-class, non-systemic topical therapy for the potential treatment of atopic dermatitis (AD) that acts via modulating release of key inflammatory signals involved in eczema and other inflammatory dermatological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GX-03 is currently being evaluated in an ongoing, randomized, double-blind, vehicle-controlled clinical study designed to assess its potential as a topical treatment for AD. An interim analysis was completed in June 2026 with 50 patients completed and based on the findings of the interim analysis, we expanded the trial to now enroll patients across the full Eczema Area Severity Index (EASI) from 1.1 and above. We intend to enroll additional 120-135 patients in the trial. Enrollment in trial is anticipated to complete in fourth quarter of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AD, GX-03 is being advanced for onychomycosis, supported by in-vivo data demonstrating nail penetration and antifungal activity. Our historical medical device portfolio, which includes K183681, K160872, and K171191, also provides background tolerability and feasibility experience with the formula. K183681 has recently been licensed to Medline Industries, LP (“Medline”) under a license and supply agreement. See the section of our Annual Report titled “Business – Marketing – Medline Agreement” for a more detailed description of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operating losses since inception, and we expect to continue to incur losses for the foreseeable future. Our net losses were approximately $6.8 million and $1.6 million for the six months ended June 30, 2026 and 2025, respectively. As of June 30, 2026, we had an accumulated deficit of approximately $29.2 million. We anticipate that our expenses and operating losses will increase substantially for the foreseeable future due to the increase in research and development costs for later-stage clinical trials.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any potential revenue from medical device or intellectual property out-licensing arrangements, we will not generate revenue in the future from product sales unless and until we successfully initiate and complete additional clinical development programs and obtain regulatory approval for one or more additional drug candidates. As a result, we will need substantial additional funding to support our continuing drug development and operations and pursue our growth strategy. Until such time as we can generate significant revenue from product sales, if ever, we expect to finance our operations through equity and debt financing and from other sources of capital, which may include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our products. As of June 30, 2026 and December 31, 2025, we had cash and cash equivalents of approximately $10.3 million and $5.1 million, respectively. We believe that our existing cash, cash equivalents and other short-term investments will be sufficient to fund our operating expenses and research and development expenses for development of GX-03 in AD into the third quarter of 2027. We have based this estimate on assumptions that may prove to be wrong, and we could exhaust our available capital resources sooner than we expect. See the section of our Annual Report titled “Risk Factors — Risks Related to Our Business and Industry — We design, develop, and conduct pre-clinical and clinical testing on drug candidates and medical devices. Given the inherent expense associated with these activities, it is common for companies at our stage to incur significant losses associated with such product development. We expect to incur additional losses for the foreseeable future, and it is possible we may never achieve or maintain profitability. Our consolidated financial statements therefore express substantial doubt about our ability to continue as a going concern.” for more details.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Core Products and Programs</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GX-03 for Atopic Dermatitis (Lead Program)</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GX-03 is a non-systemic topical therapy being developed for the potential treatment of AD. Preclinical studies demonstrated inhibition of cytokines associated with inflammatory skin disease, including IL-31, IL-36α/γ, and IL-4. GX-03 is currently being evaluated in a randomized, double-blind, vehicle-controlled, adaptive phase 2 clinical trial in adults with AD.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interim analysis was completed at 50 patients completed (“Stage 1”) under the oversight of an independent interim data monitoring committee (“IDMC”) in order to review emerging signals of tolerability and efficacy in an effort to optimize the adaptive study design. We analyzed emerging signals and potential biomarkers from the interim dataset and expanded our trial to enroll additional 120-135 patients (“Stage 2”) across the entire EASI spectrum (EASI 1.1 and above) with moderate-severe lesions using the validated investigator global assessment (“vIGA-AD”) of 3 or 4. We also prospectively stratified the patients into different stratums based on EASI as follows:</w:t>
      </w:r>
    </w:p>
    <w:p>
      <w:pPr>
        <w:pStyle w:val="TextBody"/>
        <w:bidi w:val="0"/>
        <w:spacing w:before="0" w:after="0"/>
        <w:ind w:left="0" w:right="0" w:firstLine="360"/>
        <w:jc w:val="both"/>
        <w:rPr>
          <w:caps w:val="false"/>
          <w:smallCaps w:val="false"/>
        </w:rPr>
      </w:pPr>
      <w:r>
        <w:rPr>
          <w:caps w:val="false"/>
          <w:smallCaps w:val="false"/>
        </w:rPr>
        <w:t> </w:t>
      </w:r>
    </w:p>
    <w:tbl>
      <w:tblPr>
        <w:tblW w:w="4735" w:type="dxa"/>
        <w:jc w:val="left"/>
        <w:tblInd w:w="0" w:type="dxa"/>
        <w:shd w:fill="FFFFFF" w:val="clear"/>
        <w:tblLayout w:type="fixed"/>
        <w:tblCellMar>
          <w:top w:w="0" w:type="dxa"/>
          <w:left w:w="0" w:type="dxa"/>
          <w:bottom w:w="0" w:type="dxa"/>
          <w:right w:w="0" w:type="dxa"/>
        </w:tblCellMar>
      </w:tblPr>
      <w:tblGrid>
        <w:gridCol w:w="75"/>
        <w:gridCol w:w="170"/>
        <w:gridCol w:w="4490"/>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449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EASI 1.1 – 7.0 (~ 60 patients, 1:1 randomized)</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490" w:type="dxa"/>
            <w:tcBorders/>
            <w:shd w:fill="FFFFFF" w:val="clear"/>
            <w:vAlign w:val="center"/>
          </w:tcPr>
          <w:p>
            <w:pPr>
              <w:pStyle w:val="TableContents"/>
              <w:bidi w:val="0"/>
              <w:spacing w:before="0" w:after="283"/>
              <w:jc w:val="both"/>
              <w:rPr/>
            </w:pPr>
            <w:r>
              <w:rPr/>
              <w:t> </w:t>
            </w:r>
          </w:p>
        </w:tc>
      </w:tr>
    </w:tbl>
    <w:tbl>
      <w:tblPr>
        <w:tblW w:w="4855" w:type="dxa"/>
        <w:jc w:val="left"/>
        <w:tblInd w:w="0" w:type="dxa"/>
        <w:shd w:fill="FFFFFF" w:val="clear"/>
        <w:tblLayout w:type="fixed"/>
        <w:tblCellMar>
          <w:top w:w="0" w:type="dxa"/>
          <w:left w:w="0" w:type="dxa"/>
          <w:bottom w:w="0" w:type="dxa"/>
          <w:right w:w="0" w:type="dxa"/>
        </w:tblCellMar>
      </w:tblPr>
      <w:tblGrid>
        <w:gridCol w:w="75"/>
        <w:gridCol w:w="170"/>
        <w:gridCol w:w="4610"/>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46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EASI 7.1 – 15.9 (~ 60 patients, 1:1 randomized)</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both"/>
              <w:rPr/>
            </w:pPr>
            <w:r>
              <w:rPr/>
              <w:t> </w:t>
            </w:r>
          </w:p>
        </w:tc>
      </w:tr>
    </w:tbl>
    <w:tbl>
      <w:tblPr>
        <w:tblW w:w="4233" w:type="dxa"/>
        <w:jc w:val="left"/>
        <w:tblInd w:w="0" w:type="dxa"/>
        <w:shd w:fill="FFFFFF" w:val="clear"/>
        <w:tblLayout w:type="fixed"/>
        <w:tblCellMar>
          <w:top w:w="0" w:type="dxa"/>
          <w:left w:w="0" w:type="dxa"/>
          <w:bottom w:w="0" w:type="dxa"/>
          <w:right w:w="0" w:type="dxa"/>
        </w:tblCellMar>
      </w:tblPr>
      <w:tblGrid>
        <w:gridCol w:w="38"/>
        <w:gridCol w:w="170"/>
        <w:gridCol w:w="402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402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EASI &gt;16 (~ 16 patients, 1:1 randomized)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Enrollment in the trial continued during the interim analysis and as of June 30, 2026, we had an additional 21 patients enrolled that met the inclusion criteria of Stage 2. The efficacy population from Stage 2 will be evaluated using a single prespecified Hochberg multiple-testing method across four selected endpoints namely:</w:t>
      </w:r>
    </w:p>
    <w:p>
      <w:pPr>
        <w:pStyle w:val="TextBody"/>
        <w:bidi w:val="0"/>
        <w:spacing w:before="0" w:after="0"/>
        <w:ind w:left="0" w:right="0" w:firstLine="360"/>
        <w:jc w:val="both"/>
        <w:rPr>
          <w:caps w:val="false"/>
          <w:smallCaps w:val="false"/>
        </w:rPr>
      </w:pPr>
      <w:r>
        <w:rPr>
          <w:caps w:val="false"/>
          <w:smallCaps w:val="false"/>
        </w:rPr>
        <w:t> </w:t>
      </w:r>
    </w:p>
    <w:tbl>
      <w:tblPr>
        <w:tblW w:w="7270" w:type="dxa"/>
        <w:jc w:val="left"/>
        <w:tblInd w:w="0" w:type="dxa"/>
        <w:shd w:fill="FFFFFF" w:val="clear"/>
        <w:tblLayout w:type="fixed"/>
        <w:tblCellMar>
          <w:top w:w="0" w:type="dxa"/>
          <w:left w:w="0" w:type="dxa"/>
          <w:bottom w:w="0" w:type="dxa"/>
          <w:right w:w="0" w:type="dxa"/>
        </w:tblCellMar>
      </w:tblPr>
      <w:tblGrid>
        <w:gridCol w:w="75"/>
        <w:gridCol w:w="170"/>
        <w:gridCol w:w="7025"/>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702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vIGA-AD Success (vIGA of 0/1 with ≥ 2 points improvement) at Week 4</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025" w:type="dxa"/>
            <w:tcBorders/>
            <w:shd w:fill="FFFFFF" w:val="clear"/>
            <w:vAlign w:val="center"/>
          </w:tcPr>
          <w:p>
            <w:pPr>
              <w:pStyle w:val="TableContents"/>
              <w:bidi w:val="0"/>
              <w:spacing w:before="0" w:after="283"/>
              <w:jc w:val="both"/>
              <w:rPr/>
            </w:pPr>
            <w:r>
              <w:rPr/>
              <w:t> </w:t>
            </w:r>
          </w:p>
        </w:tc>
      </w:tr>
    </w:tbl>
    <w:tbl>
      <w:tblPr>
        <w:tblW w:w="5920" w:type="dxa"/>
        <w:jc w:val="left"/>
        <w:tblInd w:w="0" w:type="dxa"/>
        <w:shd w:fill="FFFFFF" w:val="clear"/>
        <w:tblLayout w:type="fixed"/>
        <w:tblCellMar>
          <w:top w:w="0" w:type="dxa"/>
          <w:left w:w="0" w:type="dxa"/>
          <w:bottom w:w="0" w:type="dxa"/>
          <w:right w:w="0" w:type="dxa"/>
        </w:tblCellMar>
      </w:tblPr>
      <w:tblGrid>
        <w:gridCol w:w="75"/>
        <w:gridCol w:w="170"/>
        <w:gridCol w:w="5675"/>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567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EASI-75 (75% reduction in EASI from baseline) at Week 4</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675" w:type="dxa"/>
            <w:tcBorders/>
            <w:shd w:fill="FFFFFF" w:val="clear"/>
            <w:vAlign w:val="center"/>
          </w:tcPr>
          <w:p>
            <w:pPr>
              <w:pStyle w:val="TableContents"/>
              <w:bidi w:val="0"/>
              <w:spacing w:before="0" w:after="283"/>
              <w:jc w:val="both"/>
              <w:rPr/>
            </w:pPr>
            <w:r>
              <w:rPr/>
              <w:t> </w:t>
            </w:r>
          </w:p>
        </w:tc>
      </w:tr>
    </w:tbl>
    <w:tbl>
      <w:tblPr>
        <w:tblW w:w="5920" w:type="dxa"/>
        <w:jc w:val="left"/>
        <w:tblInd w:w="0" w:type="dxa"/>
        <w:shd w:fill="FFFFFF" w:val="clear"/>
        <w:tblLayout w:type="fixed"/>
        <w:tblCellMar>
          <w:top w:w="0" w:type="dxa"/>
          <w:left w:w="0" w:type="dxa"/>
          <w:bottom w:w="0" w:type="dxa"/>
          <w:right w:w="0" w:type="dxa"/>
        </w:tblCellMar>
      </w:tblPr>
      <w:tblGrid>
        <w:gridCol w:w="75"/>
        <w:gridCol w:w="170"/>
        <w:gridCol w:w="5675"/>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567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EASI-90 (90% reduction in EASI from baseline) at Week 8</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675" w:type="dxa"/>
            <w:tcBorders/>
            <w:shd w:fill="FFFFFF" w:val="clear"/>
            <w:vAlign w:val="center"/>
          </w:tcPr>
          <w:p>
            <w:pPr>
              <w:pStyle w:val="TableContents"/>
              <w:bidi w:val="0"/>
              <w:spacing w:before="0" w:after="283"/>
              <w:jc w:val="both"/>
              <w:rPr/>
            </w:pPr>
            <w:r>
              <w:rPr/>
              <w:t> </w:t>
            </w:r>
          </w:p>
        </w:tc>
      </w:tr>
    </w:tbl>
    <w:tbl>
      <w:tblPr>
        <w:tblW w:w="6123" w:type="dxa"/>
        <w:jc w:val="left"/>
        <w:tblInd w:w="0" w:type="dxa"/>
        <w:shd w:fill="FFFFFF" w:val="clear"/>
        <w:tblLayout w:type="fixed"/>
        <w:tblCellMar>
          <w:top w:w="0" w:type="dxa"/>
          <w:left w:w="0" w:type="dxa"/>
          <w:bottom w:w="0" w:type="dxa"/>
          <w:right w:w="0" w:type="dxa"/>
        </w:tblCellMar>
      </w:tblPr>
      <w:tblGrid>
        <w:gridCol w:w="38"/>
        <w:gridCol w:w="170"/>
        <w:gridCol w:w="591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591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EASI-100 (100% reduction in EASI from baseline) at Week 8</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major safety concerns or treatment-related adverse events were noted in Stage 1 of the trial.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GX-03 for Onychomycosis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GX-03 is also being advanced as a topical treatment for onychomycosis. In-vivo studies in a validated animal model demonstrated nail-plate penetration and significant reduction of fungal burden. Additional clinical program steps are expected to follow completion of the AD clinical program and related Investigational New Drug (“IND”) activities.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GX-03 for Hidradenitis Suppurativa</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plan to evaluate GX-03 as a topical treatment for hidradenitis suppurativa (“HS”). In vivo studies in a validated animal model demonstrated GX-03’s potential to inhibit certain interleukins (ILs), including IL-36, a cytokine that has been implicated as an important driver of inflammation in HS pathogenesis. Additionally, GX-03 has been shown in-vitro to eliminate anaerobic bacteria known to contribute to HS symptoms. The formula has achieved antimicrobial claims in previous medical device iterations. The antimicrobial properties of GX-03, together with the observed inhibition of IL-36, provide a strong scientific rationale for exploring GX-03 as a potential treatment for HS. We plan to initiate a Phase 2a study to evaluate the safety and efficacy of GX-03 in HS in mid-2027 subject to capital availability.</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Medical Device Products (Wound and Dermatitis Management)</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previously developed and obtained Food and Drug Administration (“FDA”) clearance for several medical device formulations containing the same base formulation used in GX-03:</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K183681: a porous antimicrobial gauze impregnated with the GX-03 formulation. The product has recently been licensed to Medline under a license and supply agreement.</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K160872: a device cleared for acute and chronic wound management.</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K171191: a device cleared to manage the skin and symptoms of atopic, irritant, and radiation dermatitis.</w:t>
            </w:r>
          </w:p>
        </w:tc>
      </w:tr>
    </w:tbl>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medical devices provide historical real-world usage experience but are not the focus of current clinical development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professional fees, employee-related costs related to the corporate functions such as equity-based compensation, executive and internal administrative operations, travel expenses, insurance expenses and rental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direct listing (the “Direct Listing”) on The Nasdaq Global Market (“Nasdaq”), we expect our general and administrative expenses to increase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also expect to incur higher equity-based compensation as we operate as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reflect our ongoing investments into expanding the applications of our GX-03 formula, as well as in the development of medical devices utilizing our antimicrobial technologies. Our research and development costs also include expenses such as consulting costs, advisory costs, regulatory costs, salaries and wages for research and development related employees, information technology costs and overhead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research and development expenses to increase substantially for the foreseeable future as we continue to invest in research and development activities related to clinical programs associated with our product candidates, including but not limited to clinical trials. The process of conducting the necessary clinical research to obtain regulatory approval is costly and time-consuming, and the successful development of our candidates is highly uncertain. As a result, we are unable to determine the duration and completion costs of our research and development projects, the costs of related clinical development costs or when and to what extent we will generate revenue from the commercialization of our products and drug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research and development costs as incurred. Fluctuations in research and development expenses can be impacted by the timing and cadence of our clinical trials and preclinical studies.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includes interest income earned from cash equivalents of our highly liquid investments in money markets, interest expense under the Avenue Capital Loan Agreement, fair-value gain or loss from derivative liabilities, amortization of deferred offering cost and vendor credits.</w:t>
      </w:r>
    </w:p>
    <w:p>
      <w:pPr>
        <w:pStyle w:val="TextBody"/>
        <w:bidi w:val="0"/>
        <w:spacing w:before="0" w:after="0"/>
        <w:ind w:left="0" w:right="0" w:firstLine="360"/>
        <w:jc w:val="both"/>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three and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0"/>
        <w:gridCol w:w="60"/>
        <w:gridCol w:w="140"/>
        <w:gridCol w:w="1055"/>
        <w:gridCol w:w="95"/>
        <w:gridCol w:w="60"/>
        <w:gridCol w:w="140"/>
        <w:gridCol w:w="1055"/>
        <w:gridCol w:w="95"/>
        <w:gridCol w:w="60"/>
        <w:gridCol w:w="140"/>
        <w:gridCol w:w="1055"/>
        <w:gridCol w:w="95"/>
        <w:gridCol w:w="60"/>
        <w:gridCol w:w="140"/>
        <w:gridCol w:w="1055"/>
        <w:gridCol w:w="95"/>
        <w:gridCol w:w="60"/>
        <w:gridCol w:w="140"/>
        <w:gridCol w:w="1055"/>
        <w:gridCol w:w="95"/>
        <w:gridCol w:w="60"/>
        <w:gridCol w:w="140"/>
        <w:gridCol w:w="1055"/>
        <w:gridCol w:w="110"/>
      </w:tblGrid>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b/>
              </w:rPr>
            </w:pPr>
            <w:r>
              <w:rPr>
                <w:b/>
              </w:rPr>
              <w:t>Operating expenses:</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1,152,996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1,303,846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(150,850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2,258,325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1,679,591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578,734</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Research &amp;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475,064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62,678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412,386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584,498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71,937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512,561</w:t>
            </w:r>
          </w:p>
        </w:tc>
        <w:tc>
          <w:tcPr>
            <w:tcW w:w="11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1,628,060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1,366,524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261,536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2,842,823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1,751,528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1,091,295</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(1,628,060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(1,366,524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(261,536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(2,842,823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(1,751,528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(1,091,295</w:t>
            </w:r>
          </w:p>
        </w:tc>
        <w:tc>
          <w:tcPr>
            <w:tcW w:w="110" w:type="dxa"/>
            <w:tcBorders/>
            <w:shd w:fill="FFFFFF" w:val="clear"/>
            <w:vAlign w:val="center"/>
          </w:tcPr>
          <w:p>
            <w:pPr>
              <w:pStyle w:val="TableContents"/>
              <w:bidi w:val="0"/>
              <w:spacing w:before="0" w:after="283"/>
              <w:jc w:val="left"/>
              <w:rPr>
                <w:b/>
              </w:rPr>
            </w:pPr>
            <w:r>
              <w:rPr>
                <w:b/>
              </w:rPr>
              <w:t>)</w:t>
            </w:r>
          </w:p>
        </w:tc>
      </w:tr>
      <w:tr>
        <w:trPr/>
        <w:tc>
          <w:tcPr>
            <w:tcW w:w="2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2090" w:type="dxa"/>
            <w:tcBorders/>
            <w:shd w:fill="CCEEFF" w:val="clear"/>
            <w:vAlign w:val="center"/>
          </w:tcPr>
          <w:p>
            <w:pPr>
              <w:pStyle w:val="TableContents"/>
              <w:bidi w:val="0"/>
              <w:spacing w:before="0" w:after="283"/>
              <w:jc w:val="left"/>
              <w:rPr/>
            </w:pPr>
            <w:r>
              <w:rPr/>
              <w:t>Net loss from change in fair value of derivative liability instrument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(3,341,568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(3,341,568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(2,644,007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(2,644,007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2090" w:type="dxa"/>
            <w:tcBorders/>
            <w:shd w:fill="FFFFFF" w:val="clear"/>
            <w:vAlign w:val="center"/>
          </w:tcPr>
          <w:p>
            <w:pPr>
              <w:pStyle w:val="TableContents"/>
              <w:bidi w:val="0"/>
              <w:spacing w:before="0" w:after="283"/>
              <w:jc w:val="left"/>
              <w:rPr/>
            </w:pPr>
            <w:r>
              <w:rPr/>
              <w:t>Amortization of deferred offering cost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(638,747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(638,747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(1,116,394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(1,116,394</w:t>
            </w:r>
          </w:p>
        </w:tc>
        <w:tc>
          <w:tcPr>
            <w:tcW w:w="110" w:type="dxa"/>
            <w:tcBorders/>
            <w:shd w:fill="FFFFFF" w:val="clear"/>
            <w:vAlign w:val="center"/>
          </w:tcPr>
          <w:p>
            <w:pPr>
              <w:pStyle w:val="TableContents"/>
              <w:bidi w:val="0"/>
              <w:spacing w:before="0" w:after="283"/>
              <w:jc w:val="left"/>
              <w:rPr/>
            </w:pPr>
            <w:r>
              <w:rPr/>
              <w:t>)</w:t>
            </w:r>
          </w:p>
        </w:tc>
      </w:tr>
      <w:tr>
        <w:trPr/>
        <w:tc>
          <w:tcPr>
            <w:tcW w:w="2090" w:type="dxa"/>
            <w:tcBorders/>
            <w:shd w:fill="CCEEFF" w:val="clear"/>
            <w:vAlign w:val="center"/>
          </w:tcPr>
          <w:p>
            <w:pPr>
              <w:pStyle w:val="TableContents"/>
              <w:bidi w:val="0"/>
              <w:spacing w:before="0" w:after="283"/>
              <w:jc w:val="left"/>
              <w:rPr/>
            </w:pPr>
            <w:r>
              <w:rPr/>
              <w:t>Interest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(241,359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(246,493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(223,219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(233,515</w:t>
            </w:r>
          </w:p>
        </w:tc>
        <w:tc>
          <w:tcPr>
            <w:tcW w:w="110" w:type="dxa"/>
            <w:tcBorders/>
            <w:shd w:fill="CCEEFF" w:val="clear"/>
            <w:vAlign w:val="center"/>
          </w:tcPr>
          <w:p>
            <w:pPr>
              <w:pStyle w:val="TableContents"/>
              <w:bidi w:val="0"/>
              <w:spacing w:before="0" w:after="283"/>
              <w:jc w:val="left"/>
              <w:rPr/>
            </w:pPr>
            <w:r>
              <w:rPr/>
              <w:t>)</w:t>
            </w:r>
          </w:p>
        </w:tc>
      </w:tr>
      <w:tr>
        <w:trPr/>
        <w:tc>
          <w:tcPr>
            <w:tcW w:w="2090"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120,975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(120,975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5,578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172,260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(166,682</w:t>
            </w:r>
          </w:p>
        </w:tc>
        <w:tc>
          <w:tcPr>
            <w:tcW w:w="110" w:type="dxa"/>
            <w:tcBorders/>
            <w:shd w:fill="FFFFFF" w:val="clear"/>
            <w:vAlign w:val="center"/>
          </w:tcPr>
          <w:p>
            <w:pPr>
              <w:pStyle w:val="TableContents"/>
              <w:bidi w:val="0"/>
              <w:spacing w:before="0" w:after="283"/>
              <w:jc w:val="left"/>
              <w:rPr/>
            </w:pPr>
            <w:r>
              <w:rPr/>
              <w:t>)</w:t>
            </w:r>
          </w:p>
        </w:tc>
      </w:tr>
      <w:tr>
        <w:trPr/>
        <w:tc>
          <w:tcPr>
            <w:tcW w:w="2090" w:type="dxa"/>
            <w:tcBorders/>
            <w:shd w:fill="CCEEFF" w:val="clear"/>
            <w:vAlign w:val="center"/>
          </w:tcPr>
          <w:p>
            <w:pPr>
              <w:pStyle w:val="TableContents"/>
              <w:bidi w:val="0"/>
              <w:spacing w:before="0" w:after="283"/>
              <w:jc w:val="left"/>
              <w:rPr>
                <w:b/>
              </w:rPr>
            </w:pPr>
            <w:r>
              <w:rPr>
                <w:b/>
              </w:rPr>
              <w:t>Total 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(4,221,674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126,109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(4,347,783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(3,978,042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182,556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(4,160,598</w:t>
            </w:r>
          </w:p>
        </w:tc>
        <w:tc>
          <w:tcPr>
            <w:tcW w:w="110" w:type="dxa"/>
            <w:tcBorders/>
            <w:shd w:fill="CCEEFF" w:val="clear"/>
            <w:vAlign w:val="center"/>
          </w:tcPr>
          <w:p>
            <w:pPr>
              <w:pStyle w:val="TableContents"/>
              <w:bidi w:val="0"/>
              <w:spacing w:before="0" w:after="283"/>
              <w:jc w:val="left"/>
              <w:rPr>
                <w:b/>
              </w:rPr>
            </w:pPr>
            <w:r>
              <w:rPr>
                <w:b/>
              </w:rPr>
              <w:t>)</w:t>
            </w:r>
          </w:p>
        </w:tc>
      </w:tr>
      <w:tr>
        <w:trPr/>
        <w:tc>
          <w:tcPr>
            <w:tcW w:w="209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(5,849,734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(1,240,415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(4,609,319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(6,820,865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(1,568,972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(5,251,893</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generate any revenue or incur any cost of goods sold during the six months ended June 30, 2026 and 2025, as we continued to focus on the research and development of our drug candidates and medical devices.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$0.2 million from $1.3 million for the three months ended June 30, 2025 to $1.2 million for the three months ended June 30, 2026. The decrease in operating expenses primarily resulted from decrease in professional fees of $0.7 million incurred in three months ended June 30, 2025 in relation to our Direct Listing which were offset by an increase in stock-based compensation expense due to vesting timing difference of $0.5 million during three months ended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$0.6 million from $1.7 million for the six months ended June 30, 2025 to $2.3 million for the six months ended June 30, 2026. The increase in operating expenses primarily resulted from increase in stock-based compensation expense due to vesting timing difference of $0.6 million when compared to six months ended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$0.4 million from $62.7 thousand for the three months ended June 30, 2025 to $0.5 million for the three months ended June 30, 2026. The increase in research and development expenses primarily resulted from expenses incurred on our ongoing Phase-2 equivalent study of GX-03 in AD.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$0.5 million from $71.9 thousand for the six months ended June 30, 2025 to $0.6 million for the six months ended June 30, 2026. The increase in research and development expenses primarily resulted from expenses incurred on our ongoing Phase-2 equivalent study of GX-03 in AD.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liability instrument was a net loss of $3.3 million and $2.6 million during the three and six months ended June 30, 2026. The derivative liability instrument comprised of contingent warrant liability and the put option liability under the GEM Purchase Agreement (defined below) as well as contingent conversion option under the Avenue Capital Loan Agreement. Cumulative fair value of derivative liabilities from different instruments as of December 31, 2025 was $3.0 million and a remeasurement net loss due to change in fair value as of June 30, 2026 is $2.6 million. These derivative liability instruments either did not exist or did not have any material value as of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deferred offering cost was approximately $1.1 million and $0 for the six months ended June 30, 2026 and 2025, respectively. Amortization of deferred offering cost was approximately $0.6 million and $0 for the three months ended June 30, 2026 and 2025, respectively. Deferred offering cost of $0.85 million was recorded as an asset for commitment fee under the GEM Purchase Agreement which became payable to GEM upon completion of the Direct Listing in October 2025. A $5.60 million deferred offering cost was recorded as an asset for the initial recognition of warrant issued on the Direct Listing to GEM under the GEM Purchase Agreement. A $0.72 million deferred offering cost was recorded as an asset for the debt discounts related to Tranche 2 of the Avenue Loan Agreement. The deferred offering cost related to commitment fee under the GEM Purchase Agreement is being amortized on straight line basis over the term of GEM Purchase Agreement, the deferred offering cost related to warrant is being amortized on straight-line basis over the term of the GEM Purchase Agreement and the deferred offering cost related to Tranche 2 of Avenue Loan Agreement will be transferred to debt discount upon draw-down of Tranche 2 or expensed if Tranche 2 is not withdrawn.</w:t>
      </w:r>
    </w:p>
    <w:p>
      <w:pPr>
        <w:pStyle w:val="TextBody"/>
        <w:bidi w:val="0"/>
        <w:spacing w:before="0" w:after="0"/>
        <w:ind w:left="0" w:right="0" w:firstLine="360"/>
        <w:jc w:val="both"/>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 of interest income increased by $0.2 million from interest income of $5.1 thousand for three months ended June 30, 2025 to interest expense of $0.2 million during the three months ended June 30, 2026. The increase is primarily due to interest expense incurred under the Avenue Capital Loan Agreement that was executed in March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 of interest income increased by $0.2 million from interest income of 10.3 thousand for six months ended June 30, 2025 to interest expense of $0.2 million during the six months ended June 30, 2026. The increase is primarily due to interest expense incurred under the Avenue Capital Loan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decreased by $0.1 million from $0.1 million for the three months ended June 30, 2025 to $0 for the three months ended June 30, 2026. The decrease was primarily due to a $120.96 thousand write-off of a historical outstanding balance to a vendor for a historic outstanding invoice during the three months ended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decreased by $0.2 million from $0.2 million for the six months ended June 30, 2025 to $5.6 thousand for the six months ended June 30, 2026. The decrease was primarily due to a $120.96 thousand write-off of a historical outstanding balance to a vendor and $51.29 thousand discount received from another vendor against a historic outstanding invoice during six months ended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$17.0 million in total assets, which included $10.3 million in cash and cash equivalents, $0.14 million in prepaid expenses and other current assets, $56.3 thousand in right of use assets, $0.9 million in intangible assets, $5.6 million as deferred offering cost and $8.6 thousand in security deposit. Our intangible assets primarily include capitalized legal costs related to the registration of patents and trademarks.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total liabilities of $16.3 million, including $2.6 million in current accounts payable and accrued expenses, $6.1 million in derivative liability instruments pursuant to outstanding warrants, put option liability and conversion option, $49.3 thousand in current portion of operating lease liability, $8.7 thousand in long term portion of lease liability, $6.1 million in long-term debt, net of debt discounts and $1.4 million in deferred revenue. The deferred revenue as of June 30, 2026 is attributable to a license agreement for our FleX Product which has been deferred due to unpredictable outcomes and timelines of the FDA approval process which cannot be reasonably estimated. We will continue to defer the recognition of revenue until FDA approval is achieved or sufficient information is available to make a reasonable estimate on the outcome and timelines.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operating plan, we estimate that our cash and cash equivalents as of June 30, 2026 will be sufficient to fund our operating expenses and research and development expenses for development of GX-03 in AD into the third quarter of 2027. We have based this estimate on assumptions that may prove to be wrong, and could deplete our capital resources sooner than we currently expect. Our capital resources may not be sufficient to fund operations through at least the next 12 months from the date that the accompanying unaudited condensed consolidated interim financial statements as of June 30, 2026 are issued based on our expected cash needs, which raises substantial doubt about our ability to continue as a going concern. We currently anticipate that we will require up to approximately $60 to $65 million to complete our planned Phase 3 trials for AD and onychomycosis, and approximately $2.5 million for our Phase 2a study in HS, which we expect to fund through accessing the capital markets, including with additional issuances of equity and/or equity-linked securities. See the section titled “Risk Factors — Risks Related to Our Business and Industry — We design, develop, and conduct pre-clinical and clinical testing on drug candidates and medical devices. Given the inherent expense associated with these activities, it is common for companies at our stage to incur significant losses associated with such product development. We expect to incur additional losses for the foreseeable future, and it is possible we may never achieve or maintain profitability. Our condensed consolidated financial statements therefore express substantial doubt about our ability to continue as a going concern.” in our Annual Report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intend to fund the operations of the Company for the next 12 months from, as of June 30, 2026, the cash and cash equivalents available of approximately $10.3 million, from new licensing deals for our FDA-cleared medical devices or any payments from our existing license for the FleX Product, and other equity or debt financings, as available. </w:t>
      </w:r>
    </w:p>
    <w:p>
      <w:pPr>
        <w:pStyle w:val="TextBody"/>
        <w:bidi w:val="0"/>
        <w:spacing w:before="0" w:after="0"/>
        <w:ind w:left="0" w:right="0" w:firstLine="360"/>
        <w:jc w:val="both"/>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2025, we entered into an amended and restated Share Purchase Agreement, which was further amended by a side letter dated as of September 24, 2025, and an amended and restated Registration Rights Agreement with GEM Global Yield LLC SCS and GEM Yield Bahamas Limited (collectively, “GEM”) (as amended, the “GEM Purchase Agreement” and the “GEM Rights Agreement,” respectively, and together, the “GEM Agreements”), pursuant to which we are eligible to put certain shares of common stock to the selling stockholders, subject to certain volume and price restrictions. Under the GEM Agreements, GEM agreed to purchase up to $85.0 million in shares of our common stock subject to certain conditions and limitations, including the registration of our common stock on a national securities exchange. Accordingly, we expect to put shares of our common stock to GEM under the GEM Agreements as needed. On October 31, 2025, we issued the initial draw-down notice to GEM for 1,235,200 shares and GEM purchased 1,235,200 shares of common stock at approximately $3.29 per share resulting in gross proceeds of $4.1 million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(the “Closing Date”), we entered into a Loan and Security Agreement (the “Loan Agreement”), with Avenue Venture Opportunities Fund II, L.P., as administrative agent and collateral agent (the “Agent”) and Avenue Venture Opportunities Fund II, L.P., as lender (the “Lender”, together with Agent, “Avenue Capital”). The Loan Agreement makes available to us term loans in an aggregate principal amount of up to $25.0 million with (i) $7.0 million funded on March 24, 2026 (“Tranche 1”), (ii) up to $8.0 million to be made available to us between September 1, 2026 and March 31, 2027, subject to (a) dosing of first patients in a Phase 3 trial of onychomycosis, (b) raising $10.0 million via equity financing and (c) positive data in our ongoing Phase 2 clinical study of GX-03 for moderate-severe atopic dermatitis (“Tranche 2”). The Lender may make additional term loans of up to an additional $10.0 million (the “Discretionary Tranche 3” and collectively with Tranche 1, and Tranche 2, the “Loans”), to be funded between January 1, 2027 and June 30, 2028, subject to, among other things, (i) that we have drawn the full amount of Tranche 2, (ii) our achievement of a certain clinical milestone and (iii) the mutual written agreement between us and the Lender (upon the Lender’s investment committee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incur significant additional costs in operating our business, including, but not limited to, research and development, general and administrative expenses and marketing and advertisement expenses, and intend to continue to fund our operations through additional equity and debt financing in the future and entry into additional strategic collaboration and licensing arrangements. We may also engage in additional debt and/or equity financing as determined to be necessary to fund our operations and planned research and development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during the six months ended June 30, 2026 was $2.6 million and consisted primarily of our net loss of $6.8 million, a $0.3 million outflow from changes in operating assets and liabilities primarily attributable to the timing of expenses incurred and payments issued as well as non-cash adjustments of $0.7 million of stock-based compensation, $2.6 million non-cash fair value loss from derivative liability instruments and $29.0 thousand, $1.1 million and $0.1 million in amortization of intangible assets, deferred offering cost and debt discount,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during the six months ended June 30, 2025 was $0.8 million and consisted primarily of our net loss of $1.6 million, a $0.4 million inflow from changes in operating assets and liabilities primarily attributable to the timing of expenses incurred and payments issued as well as non-cash adjustments of $0.1 million of stock-based compensation, $0.3 million advisory services expense that was settled through issuance of common stock and $24.9 thousand in amortization of intangible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during the six months ended June 30, 2026 was $18.0 thousand and consisted primarily of capitalization of patent related legal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during the six months ended June 30, 2025 was $31.8 thousand and consisted primarily of capitalization of patent related legal costs.</w:t>
      </w:r>
    </w:p>
    <w:p>
      <w:pPr>
        <w:pStyle w:val="TextBody"/>
        <w:bidi w:val="0"/>
        <w:spacing w:before="0" w:after="0"/>
        <w:ind w:left="0" w:right="0" w:firstLine="360"/>
        <w:jc w:val="both"/>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during the six months ended June 30, 2026 was $7.8 million and consisted of $1.1 million in proceeds from subscription receivable and $6.7 million in net proceeds from Avenue Capital Loan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during the six months ended June 30, 2025 was $3.1 million and consisted of $3.1 million in proceeds from the issuance of common stock under the Regulation Crowdfunding, Regulation A+ and Regulation 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condensed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include, but are not limited to, those relating to stock-based compensation, revenue recognition, research and development expenses, fair value of derivative liabilities, and determination of right-of-use assets under lease transactions and related lease obligations. Although these estimates are based on our knowledge of current events and actions we may undertake in the future, actual results may materially differ from these estimates and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Revenue Recognition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Topic 606, we recognize revenue when our customer obtains control of promised goods or services, in an amount that reflects the consideration that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including variable consideration, if any; (iv) allocate the transaction price to the performance obligations in the contract; and (v) recognize revenue when (or as) we satisfy a performance obligation. We only apply the five-step model to contracts when it is probable that we will collect the consideration to which we are entitled in exchange for the goods or services we transfer to a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combined performance obligation is identified. We then allocate the transaction price (that is,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 subject to the constraint on variable consideration. Variable consideration is not constrained if the potential reversal of cumulative revenue recognized at the contract level is not significant.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License Rights</w:t>
      </w:r>
      <w:r>
        <w:rPr>
          <w:rFonts w:ascii="Times New Roman;Times;Serif" w:hAnsi="Times New Roman;Times;Serif"/>
          <w:b w:val="false"/>
          <w:i w:val="false"/>
          <w:caps w:val="false"/>
          <w:smallCaps w:val="false"/>
          <w:sz w:val="20"/>
        </w:rPr>
        <w:t> — If the license to our intellectual property is determined to be distinct from the other promises or performance obligations identified in the arrangement, which generally include research and development services, we recognize revenue from nonrefundable, upfront fees allocated to the license when the license is transferred to the customer and the customer is able to use and benefit from the license. In assessing whether a license is distinct from the other promises, we consider relevant facts and circumstances of each arrangement, including the research and development capabilities of the collaboration partner and the availability of the associated expertise in the general marketplace. In addition, we consider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w:t>
      </w:r>
    </w:p>
    <w:p>
      <w:pPr>
        <w:pStyle w:val="TextBody"/>
        <w:bidi w:val="0"/>
        <w:spacing w:before="0" w:after="0"/>
        <w:ind w:left="0" w:right="0" w:hanging="0"/>
        <w:jc w:val="both"/>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licenses that are combined with other promises, we utilize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intellectual property, revenue is recognized at the point in time when control of the license is transferred. If it is determined that the license does not represent functional intellectual property, revenue is recognized over time using an appropriate method of measuring progress.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Milestone Payments</w:t>
      </w:r>
      <w:r>
        <w:rPr>
          <w:rFonts w:ascii="Times New Roman;Times;Serif" w:hAnsi="Times New Roman;Times;Serif"/>
          <w:b w:val="false"/>
          <w:i w:val="false"/>
          <w:caps w:val="false"/>
          <w:smallCaps w:val="false"/>
          <w:sz w:val="20"/>
        </w:rPr>
        <w:t> — At the inception of an arrangement that includes development milestone payments, we evaluate whether the milestones are considered likely to be achieved and estimate the amount to be included in the transaction price using the most likely amount method. If it is probable that a significant reversal of cumulative revenue recognized would not occur, the associated milestone value is included in the transaction price. Milestone payments that are not within our control, such as regulatory approvals, are not considered probable to be achieved until those approvals are received. We evaluate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we re-evaluate the probability of achievement of all milestones subject to constraint and, if necessary, adjust its estimate of the overall transaction price. Any such adjustments are recorded on a cumulative catch-up basis, which would affect revenues and earnings in the period of adjustment.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Royalties</w:t>
      </w:r>
      <w:r>
        <w:rPr>
          <w:rFonts w:ascii="Times New Roman;Times;Serif" w:hAnsi="Times New Roman;Times;Serif"/>
          <w:b w:val="false"/>
          <w:i w:val="false"/>
          <w:caps w:val="false"/>
          <w:smallCaps w:val="false"/>
          <w:sz w:val="20"/>
        </w:rPr>
        <w:t> — For arrangements that include sales-based royalties, including milestone payments based on a level of sales, where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licensing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us for satisfying the revenue recognition criteria or that are contractually due based upon the terms of the collaboration agreements are recorded as accounts receivable on the consolidated balance sheets. Amounts received prior to satisfying the revenue recognition criteria are recorded as deferred revenue. Amounts expected to be recognized as revenue within the one year following the balance sheet date are classified as current deferred revenue. Amounts not expected to be recognized as revenue within the one year following the balance sheet date are classified as deferred revenue, net of current portion.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assesses the available positive and negative evidence to estimate if sufficient future taxable income will be generated to use the existing deferred tax assets. On the basis of this evaluation, the Company has determined that it is more likely than not that the Company will not recognize the benefits of the federal and state net deferred tax assets, and, as a result, a full valuation allowance has been set against its net deferred tax assets as of June 30, 2026 and December 31, 2025. The amount of the deferred tax asset to be realized could be adjusted if estimates of future taxable income during the carry-forward period are reduced or increased. For the fiscal year ended December 31, 2025, the Company had federal cumulative net operating loss (“NOL”) carryforwards of approximately $14.5 million, and the Company had state NOL carryforwards of approximately $7.3 million. Utilization of some of the federal and state NOL carryforwards to reduce future income taxes will depend on the Company’s ability to generate sufficient taxable income prior to the expiration of the carryforwards. The federal net operating loss carryforward is subject to an 80% limitation on taxable income, does not expire, and will carry on indefinitely.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taxed as a “Corporation” for both federal and state income tax purposes. We account for income taxes using the asset and liability approach promulgated by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pStyle w:val="TextBody"/>
        <w:bidi w:val="0"/>
        <w:spacing w:before="0" w:after="0"/>
        <w:ind w:left="0" w:right="0" w:hanging="0"/>
        <w:jc w:val="both"/>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stock-based compensation for both employees and non-employees in accordance with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Under the fair value recognition provisions of ASC 718, stock-based compensation cost is measured at the grant date based on the fair value of the award and is recognized as expense ratably over the requisite service period, which is generally the vesting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Derivatives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financial instruments, including the liability instrument, are recorded at fair value on the consolidated balance sheets. Liabilities classified as derivatives are remeasured at their fair value at each reporting date, with decreases or increases in the fair value recognized as other gain or loss, respectively, within the consolidated statements of operations. Equity classified derivatives are not remeasured at each reporting date. If a liability classified derivative becomes eligible for reclassification to an equity classified derivative, any gains or losses recognized up to the point of reclassification are not reversed.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recently issued accounting pronouncements that may potentially impact our financial position, results of operations or cash flows is disclosed in Note 2 to our unaudited condensed consolidated financial statements contained in Part I, Item 1 of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Securities Exchange Act of 1934, as amended, or the Exchange Act, and are not required to provide the information specified under this item.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(as defined in Exchange Act Rule 13a–15(e) and 15d-15(e)) that are designed to ensure that information required to be disclosed in our reports under the Exchange Act, and the rules and regulations thereunder, is recorded, processed, summarized and reported within the time periods specified in the SEC’s rules and forms and that such information is accumulated and communicated to our management, including our chief executive officer and chief financial officer,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carried out an evaluation, under the supervision, and with the participation, of management, including our chief executive officer and chief financial officer, of our disclosure controls and procedures (as defined in Rule 13a-15(e) of the Exchange Act) as of the end of the period covered by this Quarterly Report. Based on that evaluation, management concluded that our disclosure controls and procedures were effective as of the end of the period covered by this Quarterly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not been any change in our internal control over financial reporting during the three months ended June 30, 2026 that has materially affected, or is reasonably likely to materially affect, our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the Effectiveness of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and our internal control over financial reporting are designed to provide reasonable, not absolute, assurance that the objectives of the control system are met. We continue to implement, improve, and refine our disclosure controls and procedures and our internal control over financial reporting.</w:t>
      </w:r>
    </w:p>
    <w:p>
      <w:pPr>
        <w:pStyle w:val="TextBody"/>
        <w:bidi w:val="0"/>
        <w:spacing w:before="0" w:after="0"/>
        <w:ind w:left="0" w:right="0" w:hanging="0"/>
        <w:jc w:val="center"/>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involved in legal proceedings or subject to claims incident to the ordinary course of business. While the outcome of any such proceedings cannot be predicted with certainty, as of June 30, 2026, we were not a party to any litigation or legal proceedings that, in the opinion of our management, are probable to have a material adverse effect on our business. Regardless of the outcome, such proceedings or claims can have an adverse impact on us because of defense and settlement costs, diversion of resources, reputational harm, and other factors, and there can be no assurances that favorable outcomes will be obtained.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under Rule 12b-2 of the Exchange Act, we are not required to include risk factors in this Quarterly Report. However, as of the date of this Quarterly Report, there have been no material changes with respect to those risk factors previously disclosed in the “Risk Factors” section of the Annual Report. Additional risks and uncertainties not presently known to us or that we currently believe to be immaterial may also adversely affect our business. Any of these factors could result in a significant adverse effect on our business, results of operations, financial condition, and prospects. We may disclose changes to such risk factors or disclose additional risk factors from time to time in our future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tbl>
      <w:tblPr>
        <w:tblW w:w="820" w:type="dxa"/>
        <w:jc w:val="left"/>
        <w:tblInd w:w="0" w:type="dxa"/>
        <w:shd w:fill="FFFFFF" w:val="clear"/>
        <w:tblLayout w:type="fixed"/>
        <w:tblCellMar>
          <w:top w:w="0" w:type="dxa"/>
          <w:left w:w="0" w:type="dxa"/>
          <w:bottom w:w="0" w:type="dxa"/>
          <w:right w:w="0" w:type="dxa"/>
        </w:tblCellMar>
      </w:tblPr>
      <w:tblGrid>
        <w:gridCol w:w="75"/>
        <w:gridCol w:w="230"/>
        <w:gridCol w:w="515"/>
      </w:tblGrid>
      <w:tr>
        <w:trPr/>
        <w:tc>
          <w:tcPr>
            <w:tcW w:w="75"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1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ind w:left="0" w:right="0" w:hanging="0"/>
        <w:jc w:val="both"/>
        <w:rPr>
          <w:caps w:val="false"/>
          <w:smallCaps w:val="false"/>
        </w:rPr>
      </w:pPr>
      <w:r>
        <w:rPr>
          <w:caps w:val="false"/>
          <w:smallCaps w:val="false"/>
        </w:rPr>
        <w:t> </w:t>
      </w:r>
    </w:p>
    <w:tbl>
      <w:tblPr>
        <w:tblW w:w="1600" w:type="dxa"/>
        <w:jc w:val="left"/>
        <w:tblInd w:w="0" w:type="dxa"/>
        <w:shd w:fill="FFFFFF" w:val="clear"/>
        <w:tblLayout w:type="fixed"/>
        <w:tblCellMar>
          <w:top w:w="0" w:type="dxa"/>
          <w:left w:w="0" w:type="dxa"/>
          <w:bottom w:w="0" w:type="dxa"/>
          <w:right w:w="0" w:type="dxa"/>
        </w:tblCellMar>
      </w:tblPr>
      <w:tblGrid>
        <w:gridCol w:w="75"/>
        <w:gridCol w:w="245"/>
        <w:gridCol w:w="1280"/>
      </w:tblGrid>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2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applicable.</w:t>
            </w:r>
          </w:p>
        </w:tc>
      </w:tr>
    </w:tbl>
    <w:p>
      <w:pPr>
        <w:pStyle w:val="TextBody"/>
        <w:bidi w:val="0"/>
        <w:spacing w:before="0" w:after="0"/>
        <w:ind w:left="0" w:right="0" w:hanging="0"/>
        <w:jc w:val="both"/>
        <w:rPr>
          <w:caps w:val="false"/>
          <w:smallCaps w:val="false"/>
        </w:rPr>
      </w:pPr>
      <w:r>
        <w:rPr>
          <w:caps w:val="false"/>
          <w:smallCaps w:val="false"/>
        </w:rPr>
        <w:t> </w:t>
      </w:r>
    </w:p>
    <w:tbl>
      <w:tblPr>
        <w:tblW w:w="820" w:type="dxa"/>
        <w:jc w:val="left"/>
        <w:tblInd w:w="0" w:type="dxa"/>
        <w:shd w:fill="FFFFFF" w:val="clear"/>
        <w:tblLayout w:type="fixed"/>
        <w:tblCellMar>
          <w:top w:w="0" w:type="dxa"/>
          <w:left w:w="0" w:type="dxa"/>
          <w:bottom w:w="0" w:type="dxa"/>
          <w:right w:w="0" w:type="dxa"/>
        </w:tblCellMar>
      </w:tblPr>
      <w:tblGrid>
        <w:gridCol w:w="75"/>
        <w:gridCol w:w="230"/>
        <w:gridCol w:w="515"/>
      </w:tblGrid>
      <w:tr>
        <w:trPr/>
        <w:tc>
          <w:tcPr>
            <w:tcW w:w="75"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51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6"/>
      <w:bookmarkEnd w:id="1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7"/>
      <w:bookmarkEnd w:id="1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8"/>
      <w:bookmarkEnd w:id="1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tbl>
      <w:tblPr>
        <w:tblW w:w="820" w:type="dxa"/>
        <w:jc w:val="left"/>
        <w:tblInd w:w="0" w:type="dxa"/>
        <w:shd w:fill="FFFFFF" w:val="clear"/>
        <w:tblLayout w:type="fixed"/>
        <w:tblCellMar>
          <w:top w:w="0" w:type="dxa"/>
          <w:left w:w="0" w:type="dxa"/>
          <w:bottom w:w="0" w:type="dxa"/>
          <w:right w:w="0" w:type="dxa"/>
        </w:tblCellMar>
      </w:tblPr>
      <w:tblGrid>
        <w:gridCol w:w="75"/>
        <w:gridCol w:w="230"/>
        <w:gridCol w:w="515"/>
      </w:tblGrid>
      <w:tr>
        <w:trPr/>
        <w:tc>
          <w:tcPr>
            <w:tcW w:w="75"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1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ind w:left="0" w:right="0" w:hanging="0"/>
        <w:jc w:val="both"/>
        <w:rPr>
          <w:caps w:val="false"/>
          <w:smallCaps w:val="false"/>
        </w:rPr>
      </w:pPr>
      <w:r>
        <w:rPr>
          <w:caps w:val="false"/>
          <w:smallCaps w:val="false"/>
        </w:rPr>
        <w:t> </w:t>
      </w:r>
    </w:p>
    <w:tbl>
      <w:tblPr>
        <w:tblW w:w="835" w:type="dxa"/>
        <w:jc w:val="left"/>
        <w:tblInd w:w="0" w:type="dxa"/>
        <w:shd w:fill="FFFFFF" w:val="clear"/>
        <w:tblLayout w:type="fixed"/>
        <w:tblCellMar>
          <w:top w:w="0" w:type="dxa"/>
          <w:left w:w="0" w:type="dxa"/>
          <w:bottom w:w="0" w:type="dxa"/>
          <w:right w:w="0" w:type="dxa"/>
        </w:tblCellMar>
      </w:tblPr>
      <w:tblGrid>
        <w:gridCol w:w="75"/>
        <w:gridCol w:w="245"/>
        <w:gridCol w:w="515"/>
      </w:tblGrid>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1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93"/>
        <w:gridCol w:w="9937"/>
      </w:tblGrid>
      <w:tr>
        <w:trPr/>
        <w:tc>
          <w:tcPr>
            <w:tcW w:w="75"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 of our directors or officers, as defined in Rule 16a-1(f) under the Exchange Act adopted or terminated a “Rule 10b5-1 trading arrangement” or a “non-Rule 10b5-1 trading arrangement” (in each case as defined in Item 408 of Regulation S-K) during the fiscal quarter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5"/>
      <w:bookmarkEnd w:id="19"/>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53"/>
        <w:gridCol w:w="60"/>
        <w:gridCol w:w="9292"/>
      </w:tblGrid>
      <w:tr>
        <w:trPr/>
        <w:tc>
          <w:tcPr>
            <w:tcW w:w="853"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bottom w:val="single" w:sz="8" w:space="0" w:color="000000"/>
            </w:tcBorders>
            <w:vAlign w:val="center"/>
          </w:tcPr>
          <w:p>
            <w:pPr>
              <w:pStyle w:val="TableContents"/>
              <w:bidi w:val="0"/>
              <w:spacing w:before="0" w:after="283"/>
              <w:jc w:val="left"/>
              <w:rPr/>
            </w:pPr>
            <w:r>
              <w:rPr/>
              <w:t> </w:t>
            </w:r>
          </w:p>
        </w:tc>
        <w:tc>
          <w:tcPr>
            <w:tcW w:w="9292"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85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2" w:type="dxa"/>
            <w:tcBorders/>
            <w:shd w:fill="CCEE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sz w:val="20"/>
                </w:rPr>
                <w:t>Amended and Restated Certificate of Incorporation (incorporated by reference to Exhibit 3.1 to our Current Report on Form 8-K filed with the SEC on October 2, 2025 (File No. 001-42875))</w:t>
              </w:r>
            </w:hyperlink>
          </w:p>
        </w:tc>
      </w:tr>
      <w:tr>
        <w:trPr/>
        <w:tc>
          <w:tcPr>
            <w:tcW w:w="85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92" w:type="dxa"/>
            <w:tcBorders/>
            <w:shd w:fill="FFFF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Amended and Restated By-Laws (incorporated by reference to Exhibit 3.2 to our Current Report on Form 8-K filed with the SEC on October 2, 2025 (File No. 001-42875))</w:t>
              </w:r>
            </w:hyperlink>
          </w:p>
        </w:tc>
      </w:tr>
      <w:tr>
        <w:trPr/>
        <w:tc>
          <w:tcPr>
            <w:tcW w:w="85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2" w:type="dxa"/>
            <w:tcBorders/>
            <w:shd w:fill="CCEEFF" w:val="clear"/>
            <w:tcMar>
              <w:bottom w:w="0" w:type="dxa"/>
            </w:tcMar>
            <w:vAlign w:val="center"/>
          </w:tcPr>
          <w:p>
            <w:pPr>
              <w:pStyle w:val="TableContents"/>
              <w:bidi w:val="0"/>
              <w:spacing w:before="0" w:after="283"/>
              <w:jc w:val="both"/>
              <w:rPr/>
            </w:pPr>
            <w:hyperlink w:anchor="ea029936101ex31-1.htm">
              <w:r>
                <w:rPr>
                  <w:rStyle w:val="InternetLink"/>
                  <w:rFonts w:ascii="Times New Roman;Times;Serif" w:hAnsi="Times New Roman;Times;Serif"/>
                  <w:sz w:val="20"/>
                </w:rPr>
                <w:t>Certification of Principal Executive Officer, pursuant to Section 302 of the Sarbanes-Oxley Act of 2002</w:t>
              </w:r>
            </w:hyperlink>
          </w:p>
        </w:tc>
      </w:tr>
      <w:tr>
        <w:trPr/>
        <w:tc>
          <w:tcPr>
            <w:tcW w:w="85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92" w:type="dxa"/>
            <w:tcBorders/>
            <w:shd w:fill="FFFFFF" w:val="clear"/>
            <w:tcMar>
              <w:bottom w:w="0" w:type="dxa"/>
            </w:tcMar>
            <w:vAlign w:val="center"/>
          </w:tcPr>
          <w:p>
            <w:pPr>
              <w:pStyle w:val="TableContents"/>
              <w:bidi w:val="0"/>
              <w:spacing w:before="0" w:after="283"/>
              <w:jc w:val="both"/>
              <w:rPr/>
            </w:pPr>
            <w:hyperlink w:anchor="ea029936101ex31-2.htm">
              <w:r>
                <w:rPr>
                  <w:rStyle w:val="InternetLink"/>
                  <w:rFonts w:ascii="Times New Roman;Times;Serif" w:hAnsi="Times New Roman;Times;Serif"/>
                  <w:sz w:val="20"/>
                </w:rPr>
                <w:t>Certification of Principal Financial Officer, pursuant to Section 302 of the Sarbanes-Oxley Act of 2002</w:t>
              </w:r>
            </w:hyperlink>
          </w:p>
        </w:tc>
      </w:tr>
      <w:tr>
        <w:trPr/>
        <w:tc>
          <w:tcPr>
            <w:tcW w:w="85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2" w:type="dxa"/>
            <w:tcBorders/>
            <w:shd w:fill="CCEEFF" w:val="clear"/>
            <w:tcMar>
              <w:bottom w:w="0" w:type="dxa"/>
            </w:tcMar>
            <w:vAlign w:val="center"/>
          </w:tcPr>
          <w:p>
            <w:pPr>
              <w:pStyle w:val="TableContents"/>
              <w:bidi w:val="0"/>
              <w:spacing w:before="0" w:after="283"/>
              <w:jc w:val="both"/>
              <w:rPr/>
            </w:pPr>
            <w:hyperlink w:anchor="ea029936101ex32-1.htm">
              <w:r>
                <w:rPr>
                  <w:rStyle w:val="InternetLink"/>
                  <w:rFonts w:ascii="Times New Roman;Times;Serif" w:hAnsi="Times New Roman;Times;Serif"/>
                  <w:sz w:val="20"/>
                </w:rPr>
                <w:t>Certification of Principal Executive Officer, pursuant to 18 U.S.C. Section 1350, as created by Section 906 of the Sarbanes-Oxley Act of 2002</w:t>
              </w:r>
            </w:hyperlink>
          </w:p>
        </w:tc>
      </w:tr>
      <w:tr>
        <w:trPr/>
        <w:tc>
          <w:tcPr>
            <w:tcW w:w="85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92" w:type="dxa"/>
            <w:tcBorders/>
            <w:shd w:fill="FFFFFF" w:val="clear"/>
            <w:tcMar>
              <w:bottom w:w="0" w:type="dxa"/>
            </w:tcMar>
            <w:vAlign w:val="center"/>
          </w:tcPr>
          <w:p>
            <w:pPr>
              <w:pStyle w:val="TableContents"/>
              <w:bidi w:val="0"/>
              <w:spacing w:before="0" w:after="283"/>
              <w:jc w:val="both"/>
              <w:rPr/>
            </w:pPr>
            <w:hyperlink w:anchor="ea029936101ex32-2.htm">
              <w:r>
                <w:rPr>
                  <w:rStyle w:val="InternetLink"/>
                  <w:rFonts w:ascii="Times New Roman;Times;Serif" w:hAnsi="Times New Roman;Times;Serif"/>
                  <w:sz w:val="20"/>
                </w:rPr>
                <w:t>Certification of Principal Financial Officer, pursuant to 18 U.S.C. Section 1350, as created by Section 906 of the Sarbanes-Oxley Act of 2002</w:t>
              </w:r>
            </w:hyperlink>
          </w:p>
        </w:tc>
      </w:tr>
      <w:tr>
        <w:trPr/>
        <w:tc>
          <w:tcPr>
            <w:tcW w:w="85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2"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r>
      <w:tr>
        <w:trPr/>
        <w:tc>
          <w:tcPr>
            <w:tcW w:w="85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92"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5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2"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5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92"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5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2"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5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92"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 Document  </w:t>
            </w:r>
          </w:p>
        </w:tc>
      </w:tr>
      <w:tr>
        <w:trPr/>
        <w:tc>
          <w:tcPr>
            <w:tcW w:w="85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2"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shd w:fill="FFFFFF" w:val="clear"/>
        <w:bidi w:val="0"/>
        <w:spacing w:before="0" w:after="0"/>
        <w:ind w:left="0" w:right="0" w:firstLine="360"/>
        <w:jc w:val="both"/>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140"/>
        <w:gridCol w:w="227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or furnished herewith.</w:t>
            </w:r>
          </w:p>
        </w:tc>
      </w:tr>
    </w:tbl>
    <w:p>
      <w:pPr>
        <w:pStyle w:val="TextBody"/>
        <w:bidi w:val="0"/>
        <w:spacing w:before="0" w:after="0"/>
        <w:ind w:left="0" w:right="0" w:hanging="0"/>
        <w:jc w:val="left"/>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7260" w:type="dxa"/>
        <w:jc w:val="left"/>
        <w:tblInd w:w="0" w:type="dxa"/>
        <w:tblLayout w:type="fixed"/>
        <w:tblCellMar>
          <w:top w:w="0" w:type="dxa"/>
          <w:left w:w="0" w:type="dxa"/>
          <w:bottom w:w="0" w:type="dxa"/>
          <w:right w:w="0" w:type="dxa"/>
        </w:tblCellMar>
      </w:tblPr>
      <w:tblGrid>
        <w:gridCol w:w="1865"/>
        <w:gridCol w:w="365"/>
        <w:gridCol w:w="5030"/>
      </w:tblGrid>
      <w:tr>
        <w:trPr/>
        <w:tc>
          <w:tcPr>
            <w:tcW w:w="1865" w:type="dxa"/>
            <w:tcBorders/>
            <w:vAlign w:val="center"/>
          </w:tcPr>
          <w:p>
            <w:pPr>
              <w:pStyle w:val="TableContents"/>
              <w:bidi w:val="0"/>
              <w:spacing w:before="0" w:after="283"/>
              <w:jc w:val="left"/>
              <w:rPr/>
            </w:pPr>
            <w:r>
              <w:rPr/>
              <w:t> </w:t>
            </w:r>
          </w:p>
        </w:tc>
        <w:tc>
          <w:tcPr>
            <w:tcW w:w="53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TURN THERAPEUTICS INC.</w:t>
            </w:r>
          </w:p>
        </w:tc>
      </w:tr>
      <w:tr>
        <w:trPr/>
        <w:tc>
          <w:tcPr>
            <w:tcW w:w="1865" w:type="dxa"/>
            <w:tcBorders/>
            <w:vAlign w:val="center"/>
          </w:tcPr>
          <w:p>
            <w:pPr>
              <w:pStyle w:val="TableContents"/>
              <w:bidi w:val="0"/>
              <w:spacing w:before="0" w:after="283"/>
              <w:jc w:val="left"/>
              <w:rPr/>
            </w:pPr>
            <w:r>
              <w:rPr/>
              <w:t> </w:t>
            </w:r>
          </w:p>
        </w:tc>
        <w:tc>
          <w:tcPr>
            <w:tcW w:w="539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12,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50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Bradley Burnam</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Bradley Burnam</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and Director </w:t>
              <w:br/>
              <w:t>(Principal Executive Officer)</w:t>
            </w:r>
          </w:p>
        </w:tc>
      </w:tr>
      <w:tr>
        <w:trPr/>
        <w:tc>
          <w:tcPr>
            <w:tcW w:w="1865" w:type="dxa"/>
            <w:tcBorders/>
            <w:vAlign w:val="center"/>
          </w:tcPr>
          <w:p>
            <w:pPr>
              <w:pStyle w:val="TableContents"/>
              <w:bidi w:val="0"/>
              <w:spacing w:before="0" w:after="283"/>
              <w:jc w:val="left"/>
              <w:rPr/>
            </w:pPr>
            <w:r>
              <w:rPr/>
              <w:t> </w:t>
            </w:r>
          </w:p>
        </w:tc>
        <w:tc>
          <w:tcPr>
            <w:tcW w:w="539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12,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Zuraiz Chaudhary</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Zuraiz Chaudhary</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ea029936101ex31-1.htm"/>
      <w:bookmarkStart w:id="22" w:name="ksea029936101ex311"/>
      <w:bookmarkEnd w:id="21"/>
      <w:bookmarkEnd w:id="22"/>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Bradley Burnam, certify that:</w:t>
      </w:r>
    </w:p>
    <w:p>
      <w:pPr>
        <w:pStyle w:val="TextBody"/>
        <w:bidi w:val="0"/>
        <w:spacing w:before="0" w:after="0"/>
        <w:ind w:left="0" w:right="0" w:hanging="0"/>
        <w:jc w:val="both"/>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85"/>
        <w:gridCol w:w="6335"/>
      </w:tblGrid>
      <w:tr>
        <w:trPr/>
        <w:tc>
          <w:tcPr>
            <w:tcW w:w="185" w:type="dxa"/>
            <w:tcBorders/>
            <w:vAlign w:val="center"/>
          </w:tcPr>
          <w:p>
            <w:pPr>
              <w:pStyle w:val="TableContents"/>
              <w:bidi w:val="0"/>
              <w:spacing w:before="0" w:after="283"/>
              <w:jc w:val="both"/>
              <w:rPr>
                <w:sz w:val="20"/>
              </w:rPr>
            </w:pPr>
            <w:r>
              <w:rPr>
                <w:sz w:val="20"/>
              </w:rPr>
              <w:t>1.</w:t>
            </w:r>
          </w:p>
        </w:tc>
        <w:tc>
          <w:tcPr>
            <w:tcW w:w="6335" w:type="dxa"/>
            <w:tcBorders/>
            <w:vAlign w:val="center"/>
          </w:tcPr>
          <w:p>
            <w:pPr>
              <w:pStyle w:val="TableContents"/>
              <w:bidi w:val="0"/>
              <w:spacing w:before="0" w:after="283"/>
              <w:jc w:val="both"/>
              <w:rPr>
                <w:sz w:val="20"/>
              </w:rPr>
            </w:pPr>
            <w:r>
              <w:rPr>
                <w:sz w:val="20"/>
              </w:rPr>
              <w:t>I have reviewed the Quarterly Report on Form 10-Q of Turn Therapeutics Inc.;</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both"/>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both"/>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both"/>
              <w:rPr>
                <w:sz w:val="20"/>
              </w:rPr>
            </w:pPr>
            <w:r>
              <w:rPr>
                <w:sz w:val="20"/>
              </w:rPr>
              <w:t>4.</w:t>
            </w:r>
          </w:p>
        </w:tc>
        <w:tc>
          <w:tcPr>
            <w:tcW w:w="10049" w:type="dxa"/>
            <w:tcBorders/>
            <w:vAlign w:val="center"/>
          </w:tcPr>
          <w:p>
            <w:pPr>
              <w:pStyle w:val="TableContents"/>
              <w:bidi w:val="0"/>
              <w:spacing w:before="0" w:after="283"/>
              <w:jc w:val="both"/>
              <w:rPr>
                <w:sz w:val="20"/>
              </w:rPr>
            </w:pP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both"/>
              <w:rPr>
                <w:sz w:val="20"/>
              </w:rPr>
            </w:pPr>
            <w:r>
              <w:rPr>
                <w:sz w:val="20"/>
              </w:rPr>
              <w:t>a.</w:t>
            </w:r>
          </w:p>
        </w:tc>
        <w:tc>
          <w:tcPr>
            <w:tcW w:w="9975"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sz w:val="20"/>
              </w:rPr>
            </w:pPr>
            <w:r>
              <w:rPr>
                <w:sz w:val="20"/>
              </w:rPr>
              <w:t>b.</w:t>
            </w:r>
          </w:p>
        </w:tc>
        <w:tc>
          <w:tcPr>
            <w:tcW w:w="9960"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both"/>
              <w:rPr>
                <w:sz w:val="20"/>
              </w:rPr>
            </w:pPr>
            <w:r>
              <w:rPr>
                <w:sz w:val="20"/>
              </w:rPr>
              <w:t>c.</w:t>
            </w:r>
          </w:p>
        </w:tc>
        <w:tc>
          <w:tcPr>
            <w:tcW w:w="9975" w:type="dxa"/>
            <w:tcBorders/>
            <w:vAlign w:val="center"/>
          </w:tcPr>
          <w:p>
            <w:pPr>
              <w:pStyle w:val="TableContents"/>
              <w:bidi w:val="0"/>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sz w:val="20"/>
              </w:rPr>
            </w:pPr>
            <w:r>
              <w:rPr>
                <w:sz w:val="20"/>
              </w:rPr>
              <w:t>d.</w:t>
            </w:r>
          </w:p>
        </w:tc>
        <w:tc>
          <w:tcPr>
            <w:tcW w:w="9960" w:type="dxa"/>
            <w:tcBorders/>
            <w:vAlign w:val="center"/>
          </w:tcPr>
          <w:p>
            <w:pPr>
              <w:pStyle w:val="TableContents"/>
              <w:bidi w:val="0"/>
              <w:spacing w:before="0" w:after="283"/>
              <w:jc w:val="both"/>
              <w:rPr>
                <w:sz w:val="20"/>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both"/>
              <w:rPr>
                <w:sz w:val="20"/>
              </w:rPr>
            </w:pPr>
            <w:r>
              <w:rPr>
                <w:sz w:val="20"/>
              </w:rPr>
              <w:t>5.</w:t>
            </w:r>
          </w:p>
        </w:tc>
        <w:tc>
          <w:tcPr>
            <w:tcW w:w="10047" w:type="dxa"/>
            <w:tcBorders/>
            <w:vAlign w:val="center"/>
          </w:tcPr>
          <w:p>
            <w:pPr>
              <w:pStyle w:val="TableContents"/>
              <w:bidi w:val="0"/>
              <w:spacing w:before="0" w:after="283"/>
              <w:jc w:val="both"/>
              <w:rPr>
                <w:sz w:val="20"/>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both"/>
              <w:rPr>
                <w:sz w:val="20"/>
              </w:rPr>
            </w:pPr>
            <w:r>
              <w:rPr>
                <w:sz w:val="20"/>
              </w:rPr>
              <w:t>a.</w:t>
            </w:r>
          </w:p>
        </w:tc>
        <w:tc>
          <w:tcPr>
            <w:tcW w:w="9975"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sz w:val="20"/>
              </w:rPr>
            </w:pPr>
            <w:r>
              <w:rPr>
                <w:sz w:val="20"/>
              </w:rPr>
              <w:t>b.</w:t>
            </w:r>
          </w:p>
        </w:tc>
        <w:tc>
          <w:tcPr>
            <w:tcW w:w="9960"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720" w:right="0" w:hanging="0"/>
        <w:jc w:val="left"/>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1865"/>
        <w:gridCol w:w="320"/>
        <w:gridCol w:w="3005"/>
      </w:tblGrid>
      <w:tr>
        <w:trPr/>
        <w:tc>
          <w:tcPr>
            <w:tcW w:w="1865" w:type="dxa"/>
            <w:tcBorders/>
            <w:vAlign w:val="center"/>
          </w:tcPr>
          <w:p>
            <w:pPr>
              <w:pStyle w:val="TableContents"/>
              <w:bidi w:val="0"/>
              <w:spacing w:before="0" w:after="283"/>
              <w:jc w:val="left"/>
              <w:rPr>
                <w:sz w:val="20"/>
              </w:rPr>
            </w:pPr>
            <w:r>
              <w:rPr>
                <w:sz w:val="20"/>
              </w:rPr>
              <w:t>Date: August 12, 2026</w:t>
            </w:r>
          </w:p>
        </w:tc>
        <w:tc>
          <w:tcPr>
            <w:tcW w:w="320" w:type="dxa"/>
            <w:tcBorders/>
            <w:vAlign w:val="center"/>
          </w:tcPr>
          <w:p>
            <w:pPr>
              <w:pStyle w:val="TableContents"/>
              <w:bidi w:val="0"/>
              <w:spacing w:before="0" w:after="283"/>
              <w:jc w:val="left"/>
              <w:rPr>
                <w:sz w:val="20"/>
              </w:rPr>
            </w:pPr>
            <w:r>
              <w:rPr>
                <w:sz w:val="20"/>
              </w:rPr>
              <w:t>By:</w:t>
            </w:r>
          </w:p>
        </w:tc>
        <w:tc>
          <w:tcPr>
            <w:tcW w:w="300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Bradley Burnam</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sz w:val="20"/>
              </w:rPr>
            </w:pPr>
            <w:r>
              <w:rPr>
                <w:sz w:val="20"/>
              </w:rPr>
              <w:t>Bradley Burnam</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sz w:val="20"/>
              </w:rPr>
            </w:pPr>
            <w:r>
              <w:rPr>
                <w:sz w:val="20"/>
              </w:rPr>
              <w:t>Chief Executive Officer and Director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sz w:val="20"/>
              </w:rPr>
            </w:pPr>
            <w:r>
              <w:rPr>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9936101ex31-2.htm"/>
      <w:bookmarkStart w:id="24" w:name="ksea029936101ex312"/>
      <w:bookmarkEnd w:id="23"/>
      <w:bookmarkEnd w:id="24"/>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Zuraiz Chaudhary, certify that:</w:t>
      </w:r>
    </w:p>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85"/>
        <w:gridCol w:w="6335"/>
      </w:tblGrid>
      <w:tr>
        <w:trPr/>
        <w:tc>
          <w:tcPr>
            <w:tcW w:w="185" w:type="dxa"/>
            <w:tcBorders/>
            <w:vAlign w:val="center"/>
          </w:tcPr>
          <w:p>
            <w:pPr>
              <w:pStyle w:val="TableContents"/>
              <w:bidi w:val="0"/>
              <w:spacing w:before="0" w:after="283"/>
              <w:jc w:val="left"/>
              <w:rPr>
                <w:sz w:val="20"/>
              </w:rPr>
            </w:pPr>
            <w:r>
              <w:rPr>
                <w:sz w:val="20"/>
              </w:rPr>
              <w:t>1.</w:t>
            </w:r>
          </w:p>
        </w:tc>
        <w:tc>
          <w:tcPr>
            <w:tcW w:w="6335" w:type="dxa"/>
            <w:tcBorders/>
            <w:vAlign w:val="center"/>
          </w:tcPr>
          <w:p>
            <w:pPr>
              <w:pStyle w:val="TableContents"/>
              <w:bidi w:val="0"/>
              <w:spacing w:before="0" w:after="283"/>
              <w:jc w:val="both"/>
              <w:rPr>
                <w:sz w:val="20"/>
              </w:rPr>
            </w:pPr>
            <w:r>
              <w:rPr>
                <w:sz w:val="20"/>
              </w:rPr>
              <w:t>I have reviewed the Quarterly Report on Form 10-Q of Turn Therapeutics Inc.;</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sz w:val="20"/>
              </w:rPr>
            </w:pPr>
            <w:r>
              <w:rPr>
                <w:sz w:val="20"/>
              </w:rPr>
              <w:t>4.</w:t>
            </w:r>
          </w:p>
        </w:tc>
        <w:tc>
          <w:tcPr>
            <w:tcW w:w="10049" w:type="dxa"/>
            <w:tcBorders/>
            <w:vAlign w:val="center"/>
          </w:tcPr>
          <w:p>
            <w:pPr>
              <w:pStyle w:val="TableContents"/>
              <w:bidi w:val="0"/>
              <w:spacing w:before="0" w:after="283"/>
              <w:jc w:val="both"/>
              <w:rPr>
                <w:sz w:val="20"/>
              </w:rPr>
            </w:pP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20"/>
              </w:rPr>
            </w:pPr>
            <w:r>
              <w:rPr>
                <w:sz w:val="20"/>
              </w:rPr>
              <w:t>a.</w:t>
            </w:r>
          </w:p>
        </w:tc>
        <w:tc>
          <w:tcPr>
            <w:tcW w:w="9975"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b.</w:t>
            </w:r>
          </w:p>
        </w:tc>
        <w:tc>
          <w:tcPr>
            <w:tcW w:w="9960"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20"/>
              </w:rPr>
            </w:pPr>
            <w:r>
              <w:rPr>
                <w:sz w:val="20"/>
              </w:rPr>
              <w:t>c.</w:t>
            </w:r>
          </w:p>
        </w:tc>
        <w:tc>
          <w:tcPr>
            <w:tcW w:w="9975" w:type="dxa"/>
            <w:tcBorders/>
            <w:vAlign w:val="center"/>
          </w:tcPr>
          <w:p>
            <w:pPr>
              <w:pStyle w:val="TableContents"/>
              <w:bidi w:val="0"/>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d.</w:t>
            </w:r>
          </w:p>
        </w:tc>
        <w:tc>
          <w:tcPr>
            <w:tcW w:w="9960" w:type="dxa"/>
            <w:tcBorders/>
            <w:vAlign w:val="center"/>
          </w:tcPr>
          <w:p>
            <w:pPr>
              <w:pStyle w:val="TableContents"/>
              <w:bidi w:val="0"/>
              <w:spacing w:before="0" w:after="283"/>
              <w:jc w:val="both"/>
              <w:rPr>
                <w:sz w:val="20"/>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sz w:val="20"/>
              </w:rPr>
            </w:pPr>
            <w:r>
              <w:rPr>
                <w:sz w:val="20"/>
              </w:rPr>
              <w:t>5.</w:t>
            </w:r>
          </w:p>
        </w:tc>
        <w:tc>
          <w:tcPr>
            <w:tcW w:w="10047" w:type="dxa"/>
            <w:tcBorders/>
            <w:vAlign w:val="center"/>
          </w:tcPr>
          <w:p>
            <w:pPr>
              <w:pStyle w:val="TableContents"/>
              <w:bidi w:val="0"/>
              <w:spacing w:before="0" w:after="283"/>
              <w:jc w:val="both"/>
              <w:rPr>
                <w:sz w:val="20"/>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20"/>
              </w:rPr>
            </w:pPr>
            <w:r>
              <w:rPr>
                <w:sz w:val="20"/>
              </w:rPr>
              <w:t>a.</w:t>
            </w:r>
          </w:p>
        </w:tc>
        <w:tc>
          <w:tcPr>
            <w:tcW w:w="9975"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b.</w:t>
            </w:r>
          </w:p>
        </w:tc>
        <w:tc>
          <w:tcPr>
            <w:tcW w:w="9960"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5055" w:type="dxa"/>
        <w:jc w:val="left"/>
        <w:tblInd w:w="0" w:type="dxa"/>
        <w:tblLayout w:type="fixed"/>
        <w:tblCellMar>
          <w:top w:w="0" w:type="dxa"/>
          <w:left w:w="0" w:type="dxa"/>
          <w:bottom w:w="0" w:type="dxa"/>
          <w:right w:w="0" w:type="dxa"/>
        </w:tblCellMar>
      </w:tblPr>
      <w:tblGrid>
        <w:gridCol w:w="1865"/>
        <w:gridCol w:w="320"/>
        <w:gridCol w:w="2870"/>
      </w:tblGrid>
      <w:tr>
        <w:trPr/>
        <w:tc>
          <w:tcPr>
            <w:tcW w:w="1865" w:type="dxa"/>
            <w:tcBorders/>
            <w:vAlign w:val="center"/>
          </w:tcPr>
          <w:p>
            <w:pPr>
              <w:pStyle w:val="TableContents"/>
              <w:bidi w:val="0"/>
              <w:spacing w:before="0" w:after="283"/>
              <w:jc w:val="left"/>
              <w:rPr>
                <w:sz w:val="20"/>
              </w:rPr>
            </w:pPr>
            <w:r>
              <w:rPr>
                <w:sz w:val="20"/>
              </w:rPr>
              <w:t>Date: August 12, 2026</w:t>
            </w:r>
          </w:p>
        </w:tc>
        <w:tc>
          <w:tcPr>
            <w:tcW w:w="320" w:type="dxa"/>
            <w:tcBorders/>
            <w:vAlign w:val="center"/>
          </w:tcPr>
          <w:p>
            <w:pPr>
              <w:pStyle w:val="TableContents"/>
              <w:bidi w:val="0"/>
              <w:spacing w:before="0" w:after="283"/>
              <w:jc w:val="left"/>
              <w:rPr>
                <w:sz w:val="20"/>
              </w:rPr>
            </w:pPr>
            <w:r>
              <w:rPr>
                <w:sz w:val="20"/>
              </w:rPr>
              <w:t>By:</w:t>
            </w:r>
          </w:p>
        </w:tc>
        <w:tc>
          <w:tcPr>
            <w:tcW w:w="287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Zuraiz Chaudhary</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Zuraiz Chaudhary</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Interim Chief Financial Officer and</w:t>
              <w:br/>
              <w:t>Chief Accounting Officer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(Principal Financial Officer and</w:t>
              <w:br/>
              <w:t>Principal Accounting Officer)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9936101ex32-1.htm"/>
      <w:bookmarkStart w:id="26" w:name="ksea029936101ex321"/>
      <w:bookmarkEnd w:id="25"/>
      <w:bookmarkEnd w:id="26"/>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PURSUANT TO 18 U.S.C SECTION 1350,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Turn Therapeutics Inc. (the “Company”) on Form 10-Q for the period ending June 30, 2026 as filed with the Securities and Exchange Commission on the date hereof (the “Report”), I, the undersigned, certify, pursuant to 18 U.S.C. § 1350, as adopted pursuant to § 906 of the Sarbanes-Oxley Act of 2002, that:</w:t>
      </w:r>
    </w:p>
    <w:p>
      <w:pPr>
        <w:pStyle w:val="TextBody"/>
        <w:bidi w:val="0"/>
        <w:spacing w:before="0" w:after="0"/>
        <w:ind w:left="720" w:right="0" w:hanging="36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185"/>
        <w:gridCol w:w="9575"/>
      </w:tblGrid>
      <w:tr>
        <w:trPr/>
        <w:tc>
          <w:tcPr>
            <w:tcW w:w="185" w:type="dxa"/>
            <w:tcBorders/>
            <w:vAlign w:val="center"/>
          </w:tcPr>
          <w:p>
            <w:pPr>
              <w:pStyle w:val="TableContents"/>
              <w:bidi w:val="0"/>
              <w:spacing w:before="0" w:after="283"/>
              <w:jc w:val="left"/>
              <w:rPr>
                <w:sz w:val="20"/>
              </w:rPr>
            </w:pPr>
            <w:r>
              <w:rPr>
                <w:sz w:val="20"/>
              </w:rPr>
              <w:t>1.</w:t>
            </w:r>
          </w:p>
        </w:tc>
        <w:tc>
          <w:tcPr>
            <w:tcW w:w="9575" w:type="dxa"/>
            <w:tcBorders/>
            <w:vAlign w:val="center"/>
          </w:tcPr>
          <w:p>
            <w:pPr>
              <w:pStyle w:val="TableContents"/>
              <w:bidi w:val="0"/>
              <w:spacing w:before="0" w:after="283"/>
              <w:jc w:val="both"/>
              <w:rPr>
                <w:sz w:val="20"/>
              </w:rPr>
            </w:pPr>
            <w:r>
              <w:rPr>
                <w:sz w:val="20"/>
              </w:rPr>
              <w:t>The Report fully complies with the requirements of section 13(a) or 15(d) of the Securities Exchange Act of 1934;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sz w:val="20"/>
              </w:rPr>
            </w:pPr>
            <w:r>
              <w:rPr>
                <w:sz w:val="20"/>
              </w:rPr>
              <w:t>2.</w:t>
            </w:r>
          </w:p>
        </w:tc>
        <w:tc>
          <w:tcPr>
            <w:tcW w:w="10028"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1865"/>
        <w:gridCol w:w="320"/>
        <w:gridCol w:w="3005"/>
      </w:tblGrid>
      <w:tr>
        <w:trPr/>
        <w:tc>
          <w:tcPr>
            <w:tcW w:w="1865" w:type="dxa"/>
            <w:tcBorders/>
            <w:vAlign w:val="center"/>
          </w:tcPr>
          <w:p>
            <w:pPr>
              <w:pStyle w:val="TableContents"/>
              <w:bidi w:val="0"/>
              <w:spacing w:before="0" w:after="283"/>
              <w:jc w:val="left"/>
              <w:rPr>
                <w:sz w:val="20"/>
              </w:rPr>
            </w:pPr>
            <w:r>
              <w:rPr>
                <w:sz w:val="20"/>
              </w:rPr>
              <w:t>Date: August 12, 2026</w:t>
            </w:r>
          </w:p>
        </w:tc>
        <w:tc>
          <w:tcPr>
            <w:tcW w:w="320" w:type="dxa"/>
            <w:tcBorders/>
            <w:vAlign w:val="center"/>
          </w:tcPr>
          <w:p>
            <w:pPr>
              <w:pStyle w:val="TableContents"/>
              <w:bidi w:val="0"/>
              <w:spacing w:before="0" w:after="283"/>
              <w:jc w:val="left"/>
              <w:rPr>
                <w:sz w:val="20"/>
              </w:rPr>
            </w:pPr>
            <w:r>
              <w:rPr>
                <w:sz w:val="20"/>
              </w:rPr>
              <w:t>By:</w:t>
            </w:r>
          </w:p>
        </w:tc>
        <w:tc>
          <w:tcPr>
            <w:tcW w:w="300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Bradley Burnam</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sz w:val="20"/>
              </w:rPr>
            </w:pPr>
            <w:r>
              <w:rPr>
                <w:sz w:val="20"/>
              </w:rPr>
              <w:t>Bradley Burnam</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sz w:val="20"/>
              </w:rPr>
            </w:pPr>
            <w:r>
              <w:rPr>
                <w:sz w:val="20"/>
              </w:rPr>
              <w:t>Chief Executive Officer and Director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sz w:val="20"/>
              </w:rPr>
            </w:pPr>
            <w:r>
              <w:rPr>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29936101ex32-2.htm"/>
      <w:bookmarkStart w:id="28" w:name="ksea029936101ex322"/>
      <w:bookmarkEnd w:id="27"/>
      <w:bookmarkEnd w:id="28"/>
      <w:r>
        <w:rPr>
          <w:rFonts w:ascii="Times New Roman;Times;Serif" w:hAnsi="Times New Roman;Times;Serif"/>
          <w:b/>
          <w:i w:val="false"/>
          <w:caps w:val="false"/>
          <w:smallCaps w:val="false"/>
          <w:sz w:val="20"/>
        </w:rPr>
        <w:t>Exhibit 32.2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PURSUANT TO 18 U.S.C SECTION 1350,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Turn Therapeutics Inc. (the “Company”) on Form 10-Q for the period ending June 30, 2026 as filed with the Securities and Exchange Commission on the date hereof (the “Report”), I, the undersigned, certify, pursuant to 18 U.S.C. § 1350, as adopted pursuant to § 906 of the Sarbanes-Oxley Act of 2002, that:</w:t>
      </w:r>
    </w:p>
    <w:p>
      <w:pPr>
        <w:pStyle w:val="TextBody"/>
        <w:bidi w:val="0"/>
        <w:spacing w:before="0" w:after="0"/>
        <w:ind w:left="720" w:right="0" w:hanging="36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185"/>
        <w:gridCol w:w="9575"/>
      </w:tblGrid>
      <w:tr>
        <w:trPr/>
        <w:tc>
          <w:tcPr>
            <w:tcW w:w="185" w:type="dxa"/>
            <w:tcBorders/>
            <w:vAlign w:val="center"/>
          </w:tcPr>
          <w:p>
            <w:pPr>
              <w:pStyle w:val="TableContents"/>
              <w:bidi w:val="0"/>
              <w:spacing w:before="0" w:after="283"/>
              <w:jc w:val="left"/>
              <w:rPr>
                <w:sz w:val="20"/>
              </w:rPr>
            </w:pPr>
            <w:r>
              <w:rPr>
                <w:sz w:val="20"/>
              </w:rPr>
              <w:t>1.</w:t>
            </w:r>
          </w:p>
        </w:tc>
        <w:tc>
          <w:tcPr>
            <w:tcW w:w="9575" w:type="dxa"/>
            <w:tcBorders/>
            <w:vAlign w:val="center"/>
          </w:tcPr>
          <w:p>
            <w:pPr>
              <w:pStyle w:val="TableContents"/>
              <w:bidi w:val="0"/>
              <w:spacing w:before="0" w:after="283"/>
              <w:jc w:val="both"/>
              <w:rPr>
                <w:sz w:val="20"/>
              </w:rPr>
            </w:pPr>
            <w:r>
              <w:rPr>
                <w:sz w:val="20"/>
              </w:rPr>
              <w:t>The Report fully complies with the requirements of section 13(a) or 15(d) of the Securities Exchange Act of 1934;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sz w:val="20"/>
              </w:rPr>
            </w:pPr>
            <w:r>
              <w:rPr>
                <w:sz w:val="20"/>
              </w:rPr>
              <w:t>2.</w:t>
            </w:r>
          </w:p>
        </w:tc>
        <w:tc>
          <w:tcPr>
            <w:tcW w:w="10028"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5925" w:type="dxa"/>
        <w:jc w:val="left"/>
        <w:tblInd w:w="0" w:type="dxa"/>
        <w:tblLayout w:type="fixed"/>
        <w:tblCellMar>
          <w:top w:w="0" w:type="dxa"/>
          <w:left w:w="0" w:type="dxa"/>
          <w:bottom w:w="0" w:type="dxa"/>
          <w:right w:w="0" w:type="dxa"/>
        </w:tblCellMar>
      </w:tblPr>
      <w:tblGrid>
        <w:gridCol w:w="2195"/>
        <w:gridCol w:w="365"/>
        <w:gridCol w:w="3365"/>
      </w:tblGrid>
      <w:tr>
        <w:trPr/>
        <w:tc>
          <w:tcPr>
            <w:tcW w:w="2195" w:type="dxa"/>
            <w:tcBorders/>
            <w:vAlign w:val="center"/>
          </w:tcPr>
          <w:p>
            <w:pPr>
              <w:pStyle w:val="TableContents"/>
              <w:bidi w:val="0"/>
              <w:spacing w:before="0" w:after="283"/>
              <w:jc w:val="left"/>
              <w:rPr/>
            </w:pPr>
            <w:r>
              <w:rPr/>
              <w:t>Date: August 12, 2026</w:t>
            </w:r>
          </w:p>
        </w:tc>
        <w:tc>
          <w:tcPr>
            <w:tcW w:w="365" w:type="dxa"/>
            <w:tcBorders/>
            <w:vAlign w:val="center"/>
          </w:tcPr>
          <w:p>
            <w:pPr>
              <w:pStyle w:val="TableContents"/>
              <w:bidi w:val="0"/>
              <w:spacing w:before="0" w:after="283"/>
              <w:jc w:val="left"/>
              <w:rPr/>
            </w:pPr>
            <w:r>
              <w:rPr/>
              <w:t>By:</w:t>
            </w:r>
          </w:p>
        </w:tc>
        <w:tc>
          <w:tcPr>
            <w:tcW w:w="3365" w:type="dxa"/>
            <w:tcBorders>
              <w:bottom w:val="single" w:sz="12" w:space="0" w:color="000000"/>
            </w:tcBorders>
            <w:tcMar>
              <w:bottom w:w="28" w:type="dxa"/>
            </w:tcMar>
            <w:vAlign w:val="center"/>
          </w:tcPr>
          <w:p>
            <w:pPr>
              <w:pStyle w:val="TableContents"/>
              <w:bidi w:val="0"/>
              <w:spacing w:before="0" w:after="283"/>
              <w:jc w:val="left"/>
              <w:rPr/>
            </w:pPr>
            <w:r>
              <w:rPr/>
              <w:t>/s/ Zuraiz Chaudhary</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left"/>
              <w:rPr/>
            </w:pPr>
            <w:r>
              <w:rPr/>
              <w:t>Zuraiz Chaudhary</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left"/>
              <w:rPr/>
            </w:pPr>
            <w:r>
              <w:rPr/>
              <w:t>Interim Chief Financial Officer and</w:t>
              <w:br/>
              <w:t>Chief Accounting Officer</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left"/>
              <w:rPr/>
            </w:pPr>
            <w:r>
              <w:rPr/>
              <w:t>(Principal Financial Officer and</w:t>
              <w:br/>
              <w:t>Principal Accounting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23016/000110465925096003/tm2527800d1_ex3-1.htm" TargetMode="External"/><Relationship Id="rId3" Type="http://schemas.openxmlformats.org/officeDocument/2006/relationships/hyperlink" Target="https://www.sec.gov/Archives/edgar/data/2023016/000110465925096003/tm2527800d1_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17702</Words>
  <Characters>97517</Characters>
  <CharactersWithSpaces>116264</CharactersWithSpaces>
  <Paragraphs>4181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